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A0767">
      <w:pPr>
        <w:tabs>
          <w:tab w:val="left" w:pos="7695"/>
        </w:tabs>
        <w:spacing w:after="0"/>
        <w:rPr>
          <w:rFonts w:ascii="Cambria" w:eastAsia="Cambria" w:hAnsi="Cambria" w:cs="Cambria"/>
          <w:sz w:val="56"/>
          <w:szCs w:val="56"/>
        </w:rPr>
      </w:pPr>
      <w:r>
        <w:rPr>
          <w:rFonts w:ascii="Cambria" w:eastAsia="Cambria" w:hAnsi="Cambria" w:cs="Cambria"/>
          <w:sz w:val="56"/>
          <w:szCs w:val="56"/>
        </w:rPr>
        <w:t>Prima Health Journal</w:t>
      </w:r>
      <w:r>
        <w:rPr>
          <w:rFonts w:ascii="Cambria" w:eastAsia="Cambria" w:hAnsi="Cambria" w:cs="Cambria"/>
          <w:sz w:val="56"/>
          <w:szCs w:val="56"/>
        </w:rPr>
        <w:tab/>
      </w:r>
      <w:r>
        <w:rPr>
          <w:rFonts w:ascii="Cambria" w:eastAsia="Cambria" w:hAnsi="Cambria" w:cs="Cambria"/>
          <w:b/>
          <w:sz w:val="56"/>
          <w:szCs w:val="56"/>
        </w:rPr>
        <w:tab/>
      </w:r>
      <w:r>
        <w:rPr>
          <w:noProof/>
          <w:lang w:val="en-US"/>
        </w:rPr>
        <w:drawing>
          <wp:anchor distT="0" distB="0" distL="0" distR="0" simplePos="0" relativeHeight="251659264" behindDoc="1" locked="0" layoutInCell="1" allowOverlap="1">
            <wp:simplePos x="0" y="0"/>
            <wp:positionH relativeFrom="column">
              <wp:posOffset>4900295</wp:posOffset>
            </wp:positionH>
            <wp:positionV relativeFrom="paragraph">
              <wp:posOffset>7620</wp:posOffset>
            </wp:positionV>
            <wp:extent cx="800100" cy="1085850"/>
            <wp:effectExtent l="0" t="0" r="0" b="0"/>
            <wp:wrapNone/>
            <wp:docPr id="2" name="image1.jpg" descr="D:\terbaru.jpg"/>
            <wp:cNvGraphicFramePr/>
            <a:graphic xmlns:a="http://schemas.openxmlformats.org/drawingml/2006/main">
              <a:graphicData uri="http://schemas.openxmlformats.org/drawingml/2006/picture">
                <pic:pic xmlns:pic="http://schemas.openxmlformats.org/drawingml/2006/picture">
                  <pic:nvPicPr>
                    <pic:cNvPr id="2" name="image1.jpg" descr="D:\terbaru.jpg"/>
                    <pic:cNvPicPr/>
                  </pic:nvPicPr>
                  <pic:blipFill>
                    <a:blip xmlns:r="http://schemas.openxmlformats.org/officeDocument/2006/relationships" r:embed="rId6"/>
                    <a:stretch>
                      <a:fillRect/>
                    </a:stretch>
                  </pic:blipFill>
                  <pic:spPr>
                    <a:xfrm>
                      <a:off x="0" y="0"/>
                      <a:ext cx="800100" cy="1085850"/>
                    </a:xfrm>
                    <a:prstGeom prst="rect">
                      <a:avLst/>
                    </a:prstGeom>
                  </pic:spPr>
                </pic:pic>
              </a:graphicData>
            </a:graphic>
          </wp:anchor>
        </w:drawing>
      </w:r>
    </w:p>
    <w:p w:rsidR="00CA0767">
      <w:pPr>
        <w:spacing w:after="120" w:line="240" w:lineRule="auto"/>
        <w:rPr>
          <w:rFonts w:ascii="Arial" w:eastAsia="Arial" w:hAnsi="Arial" w:cs="Arial"/>
          <w:b/>
          <w:i/>
          <w:color w:val="0070C0"/>
          <w:sz w:val="24"/>
          <w:szCs w:val="24"/>
          <w:u w:val="single"/>
        </w:rPr>
      </w:pPr>
      <w:hyperlink r:id="rId7" w:history="1">
        <w:r>
          <w:rPr>
            <w:rFonts w:ascii="Arial" w:eastAsia="Arial" w:hAnsi="Arial" w:cs="Arial"/>
            <w:b/>
            <w:i/>
            <w:color w:val="0000FF"/>
            <w:sz w:val="24"/>
            <w:szCs w:val="24"/>
            <w:u w:val="single"/>
          </w:rPr>
          <w:t>http://jkp.poltekkes-mataram.ac.id/index.php/home/index</w:t>
        </w:r>
      </w:hyperlink>
    </w:p>
    <w:p w:rsidR="00CA0767">
      <w:pPr>
        <w:pBdr>
          <w:top w:val="nil"/>
          <w:left w:val="nil"/>
          <w:bottom w:val="nil"/>
          <w:right w:val="nil"/>
          <w:between w:val="nil"/>
        </w:pBdr>
        <w:spacing w:after="240"/>
        <w:rPr>
          <w:b/>
          <w:i/>
          <w:color w:val="0000FF"/>
          <w:u w:val="single"/>
        </w:rPr>
      </w:pPr>
      <w:r>
        <w:rPr>
          <w:rFonts w:ascii="Times New Roman" w:eastAsia="Times New Roman" w:hAnsi="Times New Roman" w:cs="Times New Roman"/>
          <w:b/>
          <w:i/>
          <w:color w:val="000000"/>
        </w:rPr>
        <w:t>p-ISSN</w:t>
      </w:r>
      <w:r>
        <w:rPr>
          <w:rFonts w:ascii="Times New Roman" w:eastAsia="Times New Roman" w:hAnsi="Times New Roman" w:cs="Times New Roman"/>
          <w:b/>
          <w:i/>
          <w:color w:val="000000"/>
        </w:rPr>
        <w:t>:</w:t>
      </w:r>
      <w:hyperlink r:id="rId8" w:history="1">
        <w:r>
          <w:rPr>
            <w:rFonts w:ascii="Times New Roman" w:eastAsia="Times New Roman" w:hAnsi="Times New Roman" w:cs="Times New Roman"/>
            <w:b/>
            <w:i/>
            <w:color w:val="000000"/>
            <w:u w:val="single"/>
          </w:rPr>
          <w:t>1978-1334</w:t>
        </w:r>
      </w:hyperlink>
      <w:r>
        <w:rPr>
          <w:rFonts w:ascii="Times New Roman" w:eastAsia="Times New Roman" w:hAnsi="Times New Roman" w:cs="Times New Roman"/>
          <w:b/>
          <w:i/>
          <w:color w:val="000000"/>
        </w:rPr>
        <w:t>(Print); e-ISSN:</w:t>
      </w:r>
      <w:hyperlink r:id="rId9" w:history="1">
        <w:r>
          <w:rPr>
            <w:rFonts w:ascii="Times New Roman" w:eastAsia="Times New Roman" w:hAnsi="Times New Roman" w:cs="Times New Roman"/>
            <w:b/>
            <w:i/>
            <w:color w:val="000000"/>
            <w:u w:val="single"/>
          </w:rPr>
          <w:t>2460-8661</w:t>
        </w:r>
      </w:hyperlink>
      <w:r>
        <w:rPr>
          <w:rFonts w:ascii="Times New Roman" w:eastAsia="Times New Roman" w:hAnsi="Times New Roman" w:cs="Times New Roman"/>
          <w:b/>
          <w:i/>
          <w:color w:val="000000"/>
        </w:rPr>
        <w:t> </w:t>
      </w:r>
      <w:r>
        <w:rPr>
          <w:rFonts w:ascii="Times New Roman" w:eastAsia="Times New Roman" w:hAnsi="Times New Roman" w:cs="Times New Roman"/>
          <w:b/>
          <w:color w:val="000000"/>
        </w:rPr>
        <w:t>(</w:t>
      </w:r>
      <w:r>
        <w:rPr>
          <w:rFonts w:ascii="Times New Roman" w:eastAsia="Times New Roman" w:hAnsi="Times New Roman" w:cs="Times New Roman"/>
          <w:b/>
          <w:i/>
          <w:color w:val="000000"/>
        </w:rPr>
        <w:t>Online</w:t>
      </w:r>
      <w:r>
        <w:rPr>
          <w:color w:val="000000"/>
        </w:rPr>
        <w:t xml:space="preserve"> </w:t>
      </w:r>
    </w:p>
    <w:p w:rsidR="00CA0767">
      <w:pPr>
        <w:spacing w:after="0" w:line="240" w:lineRule="auto"/>
        <w:jc w:val="center"/>
        <w:rPr>
          <w:rFonts w:ascii="Times New Roman" w:eastAsia="Times New Roman" w:hAnsi="Times New Roman" w:cs="Times New Roman"/>
          <w:b/>
        </w:rP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127000</wp:posOffset>
                </wp:positionV>
                <wp:extent cx="5705475" cy="1905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rot="10800000" flipH="1">
                          <a:off x="2493263" y="3780000"/>
                          <a:ext cx="5705475" cy="1"/>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127000</wp:posOffset>
                </wp:positionV>
                <wp:extent cx="5705475" cy="19050"/>
                <wp:effectExtent l="0" t="0" r="0" b="0"/>
                <wp:wrapNone/>
                <wp:docPr id="104175164" name="image2.png"/>
                <wp:cNvGraphicFramePr/>
                <a:graphic xmlns:a="http://schemas.openxmlformats.org/drawingml/2006/main">
                  <a:graphicData uri="http://schemas.openxmlformats.org/drawingml/2006/picture">
                    <pic:pic xmlns:pic="http://schemas.openxmlformats.org/drawingml/2006/picture">
                      <pic:nvPicPr>
                        <pic:cNvPr id="104175164" name="image2.png"/>
                        <pic:cNvPicPr/>
                      </pic:nvPicPr>
                      <pic:blipFill>
                        <a:blip xmlns:r="http://schemas.openxmlformats.org/officeDocument/2006/relationships" r:embed="rId10"/>
                        <a:stretch>
                          <a:fillRect/>
                        </a:stretch>
                      </pic:blipFill>
                      <pic:spPr>
                        <a:xfrm>
                          <a:off x="0" y="0"/>
                          <a:ext cx="5705475" cy="19050"/>
                        </a:xfrm>
                        <a:prstGeom prst="rect">
                          <a:avLst/>
                        </a:prstGeom>
                      </pic:spPr>
                    </pic:pic>
                  </a:graphicData>
                </a:graphic>
              </wp:anchor>
            </w:drawing>
          </mc:Fallback>
        </mc:AlternateContent>
      </w:r>
    </w:p>
    <w:p w:rsidR="00CA0767">
      <w:pPr>
        <w:spacing w:after="0" w:line="240" w:lineRule="auto"/>
        <w:jc w:val="center"/>
        <w:rPr>
          <w:rFonts w:ascii="Times New Roman" w:eastAsia="Times New Roman" w:hAnsi="Times New Roman" w:cs="Times New Roman"/>
          <w:b/>
        </w:rPr>
      </w:pPr>
    </w:p>
    <w:p w:rsidR="00CA076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Community Health Volunteer Up skilling Increase Community-Based Early Detection Knowledge Stunting</w:t>
      </w:r>
    </w:p>
    <w:p w:rsidR="00CA0767">
      <w:pPr>
        <w:spacing w:after="0" w:line="240" w:lineRule="auto"/>
        <w:jc w:val="center"/>
        <w:rPr>
          <w:rFonts w:ascii="Times New Roman" w:eastAsia="Times New Roman" w:hAnsi="Times New Roman" w:cs="Times New Roman"/>
          <w:b/>
          <w:sz w:val="24"/>
          <w:szCs w:val="24"/>
        </w:rPr>
      </w:pPr>
    </w:p>
    <w:p w:rsidR="00CA0767">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Muhammad </w:t>
      </w:r>
      <w:r>
        <w:rPr>
          <w:rFonts w:ascii="Times New Roman" w:eastAsia="Times New Roman" w:hAnsi="Times New Roman" w:cs="Times New Roman"/>
          <w:b/>
        </w:rPr>
        <w:t>Jauhar</w:t>
      </w:r>
      <w:r>
        <w:rPr>
          <w:rFonts w:ascii="Times New Roman" w:eastAsia="Times New Roman" w:hAnsi="Times New Roman" w:cs="Times New Roman"/>
          <w:b/>
        </w:rPr>
        <w:t xml:space="preserve">  </w:t>
      </w:r>
      <w:r>
        <w:rPr>
          <w:rFonts w:ascii="Times New Roman" w:eastAsia="Times New Roman" w:hAnsi="Times New Roman" w:cs="Times New Roman"/>
          <w:b/>
          <w:vertAlign w:val="superscript"/>
        </w:rPr>
        <w:t>1</w:t>
      </w:r>
      <w:r>
        <w:rPr>
          <w:rFonts w:ascii="Wingdings" w:eastAsia="Wingdings" w:hAnsi="Wingdings" w:cs="Wingdings"/>
          <w:vertAlign w:val="superscript"/>
        </w:rPr>
        <w:t>🖂</w:t>
      </w:r>
      <w:r>
        <w:rPr>
          <w:rFonts w:ascii="Times New Roman" w:eastAsia="Times New Roman" w:hAnsi="Times New Roman" w:cs="Times New Roman"/>
          <w:b/>
          <w:vertAlign w:val="superscript"/>
        </w:rPr>
        <w:t xml:space="preserve"> </w:t>
      </w:r>
      <w:r>
        <w:rPr>
          <w:rFonts w:ascii="Times New Roman" w:eastAsia="Times New Roman" w:hAnsi="Times New Roman" w:cs="Times New Roman"/>
          <w:b/>
          <w:sz w:val="20"/>
          <w:szCs w:val="20"/>
        </w:rPr>
        <w:t xml:space="preserve">, </w:t>
      </w:r>
      <w:r>
        <w:rPr>
          <w:rFonts w:ascii="Times New Roman" w:eastAsia="Times New Roman" w:hAnsi="Times New Roman" w:cs="Times New Roman"/>
          <w:b/>
        </w:rPr>
        <w:t>Beautiful</w:t>
      </w:r>
      <w:r>
        <w:rPr>
          <w:rFonts w:ascii="Times New Roman" w:eastAsia="Times New Roman" w:hAnsi="Times New Roman" w:cs="Times New Roman"/>
          <w:b/>
          <w:vertAlign w:val="superscript"/>
        </w:rPr>
        <w:t>1</w:t>
      </w:r>
      <w:r>
        <w:rPr>
          <w:rFonts w:ascii="Times New Roman" w:eastAsia="Times New Roman" w:hAnsi="Times New Roman" w:cs="Times New Roman"/>
          <w:b/>
        </w:rPr>
        <w:t>,</w:t>
      </w:r>
      <w:r>
        <w:rPr>
          <w:rFonts w:ascii="Times New Roman" w:eastAsia="Times New Roman" w:hAnsi="Times New Roman" w:cs="Times New Roman"/>
          <w:b/>
          <w:sz w:val="20"/>
          <w:szCs w:val="20"/>
        </w:rPr>
        <w:t xml:space="preserve"> </w:t>
      </w:r>
      <w:r w:rsidR="008A544F">
        <w:rPr>
          <w:rFonts w:ascii="Times New Roman" w:eastAsia="Times New Roman" w:hAnsi="Times New Roman" w:cs="Times New Roman"/>
          <w:b/>
        </w:rPr>
        <w:t>Fitriana</w:t>
      </w:r>
      <w:r w:rsidR="008A544F">
        <w:rPr>
          <w:rFonts w:ascii="Times New Roman" w:eastAsia="Times New Roman" w:hAnsi="Times New Roman" w:cs="Times New Roman"/>
          <w:b/>
        </w:rPr>
        <w:t xml:space="preserve"> Kartikasar</w:t>
      </w:r>
      <w:r>
        <w:rPr>
          <w:rFonts w:ascii="Times New Roman" w:eastAsia="Times New Roman" w:hAnsi="Times New Roman" w:cs="Times New Roman"/>
          <w:b/>
        </w:rPr>
        <w:t>i</w:t>
      </w:r>
      <w:r>
        <w:rPr>
          <w:rFonts w:ascii="Times New Roman" w:eastAsia="Times New Roman" w:hAnsi="Times New Roman" w:cs="Times New Roman"/>
          <w:b/>
          <w:vertAlign w:val="superscript"/>
        </w:rPr>
        <w:t>1,</w:t>
      </w:r>
      <w:r>
        <w:rPr>
          <w:rFonts w:ascii="Times New Roman" w:eastAsia="Times New Roman" w:hAnsi="Times New Roman" w:cs="Times New Roman"/>
          <w:b/>
        </w:rPr>
        <w:t>Utami Rachmawati</w:t>
      </w:r>
      <w:r>
        <w:rPr>
          <w:rFonts w:ascii="Times New Roman" w:eastAsia="Times New Roman" w:hAnsi="Times New Roman" w:cs="Times New Roman"/>
          <w:b/>
          <w:vertAlign w:val="superscript"/>
        </w:rPr>
        <w:t>2</w:t>
      </w:r>
    </w:p>
    <w:p w:rsidR="00CA0767">
      <w:pPr>
        <w:tabs>
          <w:tab w:val="left" w:pos="0"/>
          <w:tab w:val="left" w:pos="284"/>
          <w:tab w:val="left" w:pos="426"/>
          <w:tab w:val="left" w:pos="709"/>
          <w:tab w:val="left" w:pos="851"/>
        </w:tabs>
        <w:spacing w:after="0" w:line="240" w:lineRule="auto"/>
        <w:rPr>
          <w:rFonts w:ascii="Times New Roman" w:eastAsia="Times New Roman" w:hAnsi="Times New Roman" w:cs="Times New Roman"/>
        </w:rPr>
      </w:pPr>
      <w:r>
        <w:rPr>
          <w:rFonts w:ascii="Times New Roman" w:eastAsia="Times New Roman" w:hAnsi="Times New Roman" w:cs="Times New Roman"/>
          <w:vertAlign w:val="superscript"/>
        </w:rPr>
        <w:t xml:space="preserve">1 </w:t>
      </w:r>
      <w:r>
        <w:rPr>
          <w:rFonts w:ascii="Times New Roman" w:eastAsia="Times New Roman" w:hAnsi="Times New Roman" w:cs="Times New Roman"/>
        </w:rPr>
        <w:t xml:space="preserve">Department of Nursing, University of </w:t>
      </w:r>
      <w:r>
        <w:rPr>
          <w:rFonts w:ascii="Times New Roman" w:eastAsia="Times New Roman" w:hAnsi="Times New Roman" w:cs="Times New Roman"/>
        </w:rPr>
        <w:t>Muhammadiyah</w:t>
      </w:r>
      <w:r>
        <w:rPr>
          <w:rFonts w:ascii="Times New Roman" w:eastAsia="Times New Roman" w:hAnsi="Times New Roman" w:cs="Times New Roman"/>
        </w:rPr>
        <w:t xml:space="preserve"> Kudus, Indonesia </w:t>
      </w:r>
    </w:p>
    <w:p w:rsidR="00CA0767">
      <w:pPr>
        <w:tabs>
          <w:tab w:val="left" w:pos="0"/>
          <w:tab w:val="left" w:pos="284"/>
          <w:tab w:val="left" w:pos="426"/>
          <w:tab w:val="left" w:pos="709"/>
          <w:tab w:val="left" w:pos="851"/>
        </w:tabs>
        <w:spacing w:after="0" w:line="240" w:lineRule="auto"/>
        <w:rPr>
          <w:rFonts w:ascii="Times New Roman" w:eastAsia="Times New Roman" w:hAnsi="Times New Roman" w:cs="Times New Roman"/>
        </w:rPr>
      </w:pPr>
      <w:r>
        <w:rPr>
          <w:rFonts w:ascii="Times New Roman" w:eastAsia="Times New Roman" w:hAnsi="Times New Roman" w:cs="Times New Roman"/>
          <w:vertAlign w:val="superscript"/>
        </w:rPr>
        <w:t>2</w:t>
      </w:r>
      <w:r>
        <w:rPr>
          <w:rFonts w:ascii="Times New Roman" w:eastAsia="Times New Roman" w:hAnsi="Times New Roman" w:cs="Times New Roman"/>
        </w:rPr>
        <w:t xml:space="preserve">Faculty of Nursing, University of Indonesia, Indonesia  </w:t>
      </w:r>
    </w:p>
    <w:p w:rsidR="00CA0767">
      <w:pPr>
        <w:tabs>
          <w:tab w:val="left" w:pos="0"/>
          <w:tab w:val="left" w:pos="284"/>
          <w:tab w:val="left" w:pos="426"/>
          <w:tab w:val="left" w:pos="709"/>
          <w:tab w:val="left" w:pos="851"/>
        </w:tabs>
        <w:spacing w:after="0" w:line="240" w:lineRule="auto"/>
        <w:rPr>
          <w:rFonts w:ascii="Times New Roman" w:eastAsia="Times New Roman" w:hAnsi="Times New Roman" w:cs="Times New Roman"/>
        </w:rPr>
      </w:pP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 muhamadjauar@umkudus.ac.id</w:t>
      </w:r>
      <w:r>
        <w:rPr>
          <w:rFonts w:ascii="Times New Roman" w:eastAsia="Times New Roman" w:hAnsi="Times New Roman" w:cs="Times New Roman"/>
        </w:rPr>
        <w:t>, Tel: +6281223647360</w:t>
      </w:r>
    </w:p>
    <w:p w:rsidR="00CA0767">
      <w:pPr>
        <w:spacing w:after="0" w:line="240" w:lineRule="auto"/>
        <w:rPr>
          <w:rFonts w:ascii="Times New Roman" w:eastAsia="Times New Roman" w:hAnsi="Times New Roman" w:cs="Times New Roman"/>
          <w:b/>
        </w:rPr>
      </w:pPr>
    </w:p>
    <w:p w:rsidR="00CA0767">
      <w:pPr>
        <w:spacing w:after="0"/>
        <w:rPr>
          <w:rFonts w:ascii="Cambria" w:eastAsia="Cambria" w:hAnsi="Cambria" w:cs="Cambria"/>
        </w:rPr>
      </w:pPr>
      <w:r>
        <w:rPr>
          <w:rFonts w:ascii="Cambria" w:eastAsia="Cambria" w:hAnsi="Cambria" w:cs="Cambria"/>
        </w:rPr>
        <w:t xml:space="preserve">Received: /Accepted: /Published Online: </w:t>
      </w:r>
    </w:p>
    <w:p w:rsidR="00CA0767">
      <w:pPr>
        <w:spacing w:after="0"/>
        <w:rPr>
          <w:rFonts w:ascii="Cambria" w:eastAsia="Cambria" w:hAnsi="Cambria" w:cs="Cambria"/>
          <w:color w:val="000000"/>
        </w:rPr>
      </w:pPr>
      <w:hyperlink r:id="rId11" w:history="1">
        <w:r>
          <w:rPr>
            <w:rFonts w:ascii="Cambria" w:eastAsia="Cambria" w:hAnsi="Cambria" w:cs="Cambria"/>
            <w:color w:val="000000"/>
            <w:u w:val="single"/>
          </w:rPr>
          <w:t>© Thi</w:t>
        </w:r>
        <w:r>
          <w:rPr>
            <w:rFonts w:ascii="Cambria" w:eastAsia="Cambria" w:hAnsi="Cambria" w:cs="Cambria"/>
            <w:color w:val="000000"/>
            <w:u w:val="single"/>
          </w:rPr>
          <w:t xml:space="preserve">s Journal is an open-access under the CC-BY-SA License </w:t>
        </w:r>
      </w:hyperlink>
      <w:r>
        <w:rPr>
          <w:rFonts w:ascii="Cambria" w:eastAsia="Cambria" w:hAnsi="Cambria" w:cs="Cambria"/>
          <w:color w:val="000000"/>
        </w:rPr>
        <w:t xml:space="preserve"> </w:t>
      </w:r>
    </w:p>
    <w:p w:rsidR="00CA0767">
      <w:pPr>
        <w:spacing w:after="0" w:line="360" w:lineRule="auto"/>
        <w:rPr>
          <w:rFonts w:ascii="Times New Roman" w:eastAsia="Times New Roman" w:hAnsi="Times New Roman" w:cs="Times New Roman"/>
          <w:sz w:val="20"/>
          <w:szCs w:val="20"/>
        </w:rPr>
      </w:pPr>
    </w:p>
    <w:p w:rsidR="00CA0767">
      <w:pPr>
        <w:spacing w:after="0" w:line="240" w:lineRule="auto"/>
        <w:rPr>
          <w:rFonts w:ascii="Times New Roman" w:eastAsia="Times New Roman" w:hAnsi="Times New Roman" w:cs="Times New Roman"/>
          <w:b/>
        </w:rPr>
      </w:pPr>
      <w:r>
        <w:rPr>
          <w:rFonts w:ascii="Times New Roman" w:eastAsia="Times New Roman" w:hAnsi="Times New Roman" w:cs="Times New Roman"/>
          <w:b/>
        </w:rPr>
        <w:t>Abstract</w:t>
      </w:r>
    </w:p>
    <w:p w:rsidR="00CA0767">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Stunting is a problem of malnutrition in children under five in the world. The number of new cases of stunting increases every year. This is caused by poor nutritional status, lack of knowledge, barriers to access to health services, inability to meet nutr</w:t>
      </w:r>
      <w:r>
        <w:rPr>
          <w:rFonts w:ascii="Times New Roman" w:eastAsia="Times New Roman" w:hAnsi="Times New Roman" w:cs="Times New Roman"/>
          <w:sz w:val="20"/>
          <w:szCs w:val="20"/>
        </w:rPr>
        <w:t xml:space="preserve">itional needs. This causes a decrease in the quality of human resources in the future. Community-based activities are an alternative solution in stunting management. Health cadres as part of the community and an extension of health workers are expected to </w:t>
      </w:r>
      <w:r>
        <w:rPr>
          <w:rFonts w:ascii="Times New Roman" w:eastAsia="Times New Roman" w:hAnsi="Times New Roman" w:cs="Times New Roman"/>
          <w:sz w:val="20"/>
          <w:szCs w:val="20"/>
        </w:rPr>
        <w:t>be able to carry out early detection and treatment of stunting in toddlers. Capacity building for health cadres is a necessity through regular coaching. This study aims to identify the effect of up-skilling health cadres on knowledge of community-based stu</w:t>
      </w:r>
      <w:r>
        <w:rPr>
          <w:rFonts w:ascii="Times New Roman" w:eastAsia="Times New Roman" w:hAnsi="Times New Roman" w:cs="Times New Roman"/>
          <w:sz w:val="20"/>
          <w:szCs w:val="20"/>
        </w:rPr>
        <w:t xml:space="preserve">nting early detection. The research design used a quasi-experimental type of pre and </w:t>
      </w:r>
      <w:r>
        <w:rPr>
          <w:rFonts w:ascii="Times New Roman" w:eastAsia="Times New Roman" w:hAnsi="Times New Roman" w:cs="Times New Roman"/>
          <w:sz w:val="20"/>
          <w:szCs w:val="20"/>
        </w:rPr>
        <w:t>post-test</w:t>
      </w:r>
      <w:r>
        <w:rPr>
          <w:rFonts w:ascii="Times New Roman" w:eastAsia="Times New Roman" w:hAnsi="Times New Roman" w:cs="Times New Roman"/>
          <w:sz w:val="20"/>
          <w:szCs w:val="20"/>
        </w:rPr>
        <w:t xml:space="preserve"> with a control group. The sample was 33 health cadres for each intervention and control group through </w:t>
      </w:r>
      <w:r>
        <w:rPr>
          <w:sz w:val="20"/>
          <w:szCs w:val="20"/>
          <w:vertAlign w:val="superscript"/>
        </w:rPr>
        <w:footnoteReference w:id="2"/>
      </w:r>
      <w:r>
        <w:rPr>
          <w:rFonts w:ascii="Times New Roman" w:eastAsia="Times New Roman" w:hAnsi="Times New Roman" w:cs="Times New Roman"/>
          <w:sz w:val="20"/>
          <w:szCs w:val="20"/>
        </w:rPr>
        <w:t xml:space="preserve">purposive sampling technique. The research was conducted in </w:t>
      </w:r>
      <w:r>
        <w:rPr>
          <w:rFonts w:ascii="Times New Roman" w:eastAsia="Times New Roman" w:hAnsi="Times New Roman" w:cs="Times New Roman"/>
          <w:sz w:val="20"/>
          <w:szCs w:val="20"/>
        </w:rPr>
        <w:t xml:space="preserve">the work area of ​​the </w:t>
      </w:r>
      <w:r>
        <w:rPr>
          <w:rFonts w:ascii="Times New Roman" w:eastAsia="Times New Roman" w:hAnsi="Times New Roman" w:cs="Times New Roman"/>
          <w:sz w:val="20"/>
          <w:szCs w:val="20"/>
        </w:rPr>
        <w:t>Undaan</w:t>
      </w:r>
      <w:r>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rPr>
        <w:t>Dawe</w:t>
      </w:r>
      <w:r>
        <w:rPr>
          <w:rFonts w:ascii="Times New Roman" w:eastAsia="Times New Roman" w:hAnsi="Times New Roman" w:cs="Times New Roman"/>
          <w:sz w:val="20"/>
          <w:szCs w:val="20"/>
        </w:rPr>
        <w:t xml:space="preserve"> Health Centers, Kudus Regency in October-November 2021. The research instrument used was a questionnaire on </w:t>
      </w:r>
      <w:r>
        <w:rPr>
          <w:rFonts w:ascii="Times New Roman" w:eastAsia="Times New Roman" w:hAnsi="Times New Roman" w:cs="Times New Roman"/>
          <w:i/>
          <w:sz w:val="20"/>
          <w:szCs w:val="20"/>
        </w:rPr>
        <w:t>health care workers' knowledge towards assessment and management of malnutrition in children</w:t>
      </w:r>
      <w:r>
        <w:rPr>
          <w:rFonts w:ascii="Times New Roman" w:eastAsia="Times New Roman" w:hAnsi="Times New Roman" w:cs="Times New Roman"/>
          <w:sz w:val="20"/>
          <w:szCs w:val="20"/>
        </w:rPr>
        <w:t xml:space="preserve"> and a </w:t>
      </w:r>
      <w:r>
        <w:rPr>
          <w:rFonts w:ascii="Times New Roman" w:eastAsia="Times New Roman" w:hAnsi="Times New Roman" w:cs="Times New Roman"/>
          <w:i/>
          <w:sz w:val="20"/>
          <w:szCs w:val="20"/>
        </w:rPr>
        <w:t>knowledge s</w:t>
      </w:r>
      <w:r>
        <w:rPr>
          <w:rFonts w:ascii="Times New Roman" w:eastAsia="Times New Roman" w:hAnsi="Times New Roman" w:cs="Times New Roman"/>
          <w:i/>
          <w:sz w:val="20"/>
          <w:szCs w:val="20"/>
        </w:rPr>
        <w:t xml:space="preserve">cale about inpatient management of severely malnourished children </w:t>
      </w:r>
      <w:r>
        <w:rPr>
          <w:rFonts w:ascii="Times New Roman" w:eastAsia="Times New Roman" w:hAnsi="Times New Roman" w:cs="Times New Roman"/>
          <w:sz w:val="20"/>
          <w:szCs w:val="20"/>
        </w:rPr>
        <w:t xml:space="preserve">with a reliability value of = 0.83. Health cadres receive coaching in four sessions over two days with </w:t>
      </w:r>
      <w:r>
        <w:rPr>
          <w:rFonts w:ascii="Times New Roman" w:eastAsia="Times New Roman" w:hAnsi="Times New Roman" w:cs="Times New Roman"/>
          <w:sz w:val="20"/>
          <w:szCs w:val="20"/>
        </w:rPr>
        <w:t>a duration</w:t>
      </w:r>
      <w:r>
        <w:rPr>
          <w:rFonts w:ascii="Times New Roman" w:eastAsia="Times New Roman" w:hAnsi="Times New Roman" w:cs="Times New Roman"/>
          <w:sz w:val="20"/>
          <w:szCs w:val="20"/>
        </w:rPr>
        <w:t xml:space="preserve"> of 45-60 minutes/session in the form of interactive lectures and demonstrati</w:t>
      </w:r>
      <w:r>
        <w:rPr>
          <w:rFonts w:ascii="Times New Roman" w:eastAsia="Times New Roman" w:hAnsi="Times New Roman" w:cs="Times New Roman"/>
          <w:sz w:val="20"/>
          <w:szCs w:val="20"/>
        </w:rPr>
        <w:t xml:space="preserve">ons. </w:t>
      </w:r>
      <w:r>
        <w:rPr>
          <w:rFonts w:ascii="Times New Roman" w:eastAsia="Times New Roman" w:hAnsi="Times New Roman" w:cs="Times New Roman"/>
          <w:sz w:val="20"/>
          <w:szCs w:val="20"/>
        </w:rPr>
        <w:t>Data analysis using Wilcoxon and Mann Whitney test.</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Upskilling</w:t>
      </w:r>
      <w:r>
        <w:rPr>
          <w:rFonts w:ascii="Times New Roman" w:eastAsia="Times New Roman" w:hAnsi="Times New Roman" w:cs="Times New Roman"/>
          <w:sz w:val="20"/>
          <w:szCs w:val="20"/>
        </w:rPr>
        <w:t xml:space="preserve"> of health cadres increased knowledge of community-based early detection of stunting with p-value = 0.001 (p &lt;0.05). Increased knowledge of health cadres in finding new cases of stunting i</w:t>
      </w:r>
      <w:r>
        <w:rPr>
          <w:rFonts w:ascii="Times New Roman" w:eastAsia="Times New Roman" w:hAnsi="Times New Roman" w:cs="Times New Roman"/>
          <w:sz w:val="20"/>
          <w:szCs w:val="20"/>
        </w:rPr>
        <w:t xml:space="preserve">n the community can be integrated with child health service programs in primary health care facilities. </w:t>
      </w:r>
    </w:p>
    <w:p w:rsidR="00CA0767">
      <w:pPr>
        <w:tabs>
          <w:tab w:val="left" w:pos="9160"/>
        </w:tabs>
        <w:spacing w:after="0" w:line="240" w:lineRule="auto"/>
        <w:rPr>
          <w:rFonts w:ascii="Times New Roman" w:eastAsia="Times New Roman" w:hAnsi="Times New Roman" w:cs="Times New Roman"/>
          <w:b/>
          <w:sz w:val="20"/>
          <w:szCs w:val="20"/>
        </w:rPr>
      </w:pPr>
    </w:p>
    <w:p w:rsidR="00CA0767">
      <w:pPr>
        <w:spacing w:after="0" w:line="360" w:lineRule="auto"/>
        <w:rPr>
          <w:rFonts w:ascii="Times New Roman" w:eastAsia="Times New Roman" w:hAnsi="Times New Roman" w:cs="Times New Roman"/>
          <w:b/>
        </w:rPr>
      </w:pPr>
      <w:r>
        <w:rPr>
          <w:rFonts w:ascii="Times New Roman" w:eastAsia="Times New Roman" w:hAnsi="Times New Roman" w:cs="Times New Roman"/>
          <w:b/>
        </w:rPr>
        <w:t>Keywords:</w:t>
      </w:r>
      <w:r>
        <w:rPr>
          <w:rFonts w:ascii="Times New Roman" w:eastAsia="Times New Roman" w:hAnsi="Times New Roman" w:cs="Times New Roman"/>
          <w:sz w:val="24"/>
          <w:szCs w:val="24"/>
        </w:rPr>
        <w:t xml:space="preserve"> </w:t>
      </w:r>
      <w:r>
        <w:rPr>
          <w:rFonts w:ascii="Times New Roman" w:eastAsia="Times New Roman" w:hAnsi="Times New Roman" w:cs="Times New Roman"/>
          <w:b/>
        </w:rPr>
        <w:t xml:space="preserve">early detection; health cadres, knowledge; stunting; </w:t>
      </w:r>
      <w:r>
        <w:rPr>
          <w:rFonts w:ascii="Times New Roman" w:eastAsia="Times New Roman" w:hAnsi="Times New Roman" w:cs="Times New Roman"/>
          <w:b/>
          <w:i/>
        </w:rPr>
        <w:t>upskilling</w:t>
      </w:r>
    </w:p>
    <w:p w:rsidR="00CA0767">
      <w:pPr>
        <w:spacing w:after="0" w:line="240" w:lineRule="auto"/>
        <w:rPr>
          <w:rFonts w:ascii="Times New Roman" w:eastAsia="Times New Roman" w:hAnsi="Times New Roman" w:cs="Times New Roman"/>
        </w:rPr>
      </w:pPr>
    </w:p>
    <w:p w:rsidR="00CA0767">
      <w:pPr>
        <w:spacing w:after="0" w:line="240" w:lineRule="auto"/>
        <w:rPr>
          <w:rFonts w:ascii="Times New Roman" w:eastAsia="Times New Roman" w:hAnsi="Times New Roman" w:cs="Times New Roman"/>
        </w:rPr>
        <w:sectPr>
          <w:headerReference w:type="even" r:id="rId12"/>
          <w:footerReference w:type="even" r:id="rId13"/>
          <w:footerReference w:type="default" r:id="rId14"/>
          <w:pgSz w:w="11906" w:h="16838"/>
          <w:pgMar w:top="993" w:right="1418" w:bottom="1644" w:left="1418" w:header="709" w:footer="709" w:gutter="0"/>
          <w:pgNumType w:start="1"/>
          <w:cols w:space="720"/>
        </w:sectPr>
      </w:pPr>
    </w:p>
    <w:p w:rsidR="00CA0767">
      <w:pPr>
        <w:tabs>
          <w:tab w:val="right" w:pos="8504"/>
        </w:tabs>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INTRODUCTION</w:t>
      </w:r>
    </w:p>
    <w:p w:rsidR="00CA0767">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Stunting is one of the problems of malnutrition in children under five all over the world. </w:t>
      </w:r>
      <w:r>
        <w:rPr>
          <w:rFonts w:ascii="Times New Roman" w:eastAsia="Times New Roman" w:hAnsi="Times New Roman" w:cs="Times New Roman"/>
          <w:sz w:val="20"/>
          <w:szCs w:val="20"/>
        </w:rPr>
        <w:t>The number of stunting under-five cases in the world in 2017 reached 150.8 million (22.2%).</w:t>
      </w:r>
      <w:r>
        <w:rPr>
          <w:rFonts w:ascii="Times New Roman" w:eastAsia="Times New Roman" w:hAnsi="Times New Roman" w:cs="Times New Roman"/>
          <w:sz w:val="20"/>
          <w:szCs w:val="20"/>
        </w:rPr>
        <w:t xml:space="preserve"> The numb</w:t>
      </w:r>
      <w:r>
        <w:rPr>
          <w:rFonts w:ascii="Times New Roman" w:eastAsia="Times New Roman" w:hAnsi="Times New Roman" w:cs="Times New Roman"/>
          <w:sz w:val="20"/>
          <w:szCs w:val="20"/>
        </w:rPr>
        <w:t xml:space="preserve">er of stunting under-five cases in Asia was 55% and another 39% of stunting under-fives were in Africa in 2017. Indonesia became the country that contributed the highest cases of stunting </w:t>
      </w:r>
      <w:r>
        <w:rPr>
          <w:rFonts w:ascii="Times New Roman" w:eastAsia="Times New Roman" w:hAnsi="Times New Roman" w:cs="Times New Roman"/>
          <w:sz w:val="20"/>
          <w:szCs w:val="20"/>
        </w:rPr>
        <w:t>under</w:t>
      </w:r>
      <w:r>
        <w:rPr>
          <w:rFonts w:ascii="Times New Roman" w:eastAsia="Times New Roman" w:hAnsi="Times New Roman" w:cs="Times New Roman"/>
          <w:sz w:val="20"/>
          <w:szCs w:val="20"/>
        </w:rPr>
        <w:t xml:space="preserve"> five in Southeast Asia at 36.4% in 2017. Based on Nutrition St</w:t>
      </w:r>
      <w:r>
        <w:rPr>
          <w:rFonts w:ascii="Times New Roman" w:eastAsia="Times New Roman" w:hAnsi="Times New Roman" w:cs="Times New Roman"/>
          <w:sz w:val="20"/>
          <w:szCs w:val="20"/>
        </w:rPr>
        <w:t>atus Monitoring Data, stunting ranks first in nutritional problems in children under five compared to malnutrition, obesity, and underweight in the last three years. The number of stunting under-five cases increased from 27.5% in 2016 to 29.6% in 2017 (</w:t>
      </w:r>
      <w:r>
        <w:rPr>
          <w:rFonts w:ascii="Times New Roman" w:eastAsia="Times New Roman" w:hAnsi="Times New Roman" w:cs="Times New Roman"/>
          <w:sz w:val="20"/>
          <w:szCs w:val="20"/>
        </w:rPr>
        <w:t>Kem</w:t>
      </w:r>
      <w:r>
        <w:rPr>
          <w:rFonts w:ascii="Times New Roman" w:eastAsia="Times New Roman" w:hAnsi="Times New Roman" w:cs="Times New Roman"/>
          <w:sz w:val="20"/>
          <w:szCs w:val="20"/>
        </w:rPr>
        <w:t>enke</w:t>
      </w:r>
      <w:bookmarkStart w:id="0" w:name="_GoBack"/>
      <w:bookmarkEnd w:id="0"/>
      <w:r>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RI, 2018). </w:t>
      </w:r>
    </w:p>
    <w:p w:rsidR="00CA0767">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Based on the 2018 Basic Health Research report, there were 17.6% cases of underweight toddlers, 30.8% cases of stunting toddlers and 9.3% cases of wasting toddlers. The World Health Organization (WHO) has set a tolerance for the number o</w:t>
      </w:r>
      <w:r>
        <w:rPr>
          <w:rFonts w:ascii="Times New Roman" w:eastAsia="Times New Roman" w:hAnsi="Times New Roman" w:cs="Times New Roman"/>
          <w:sz w:val="20"/>
          <w:szCs w:val="20"/>
        </w:rPr>
        <w:t xml:space="preserve">f stunting under-five cases at 20% whereas Indonesia reported 30% under-five stunting. Based on these data, it can be concluded that the number of stunting cases in Indonesia exceeds the tolerance number set by </w:t>
      </w:r>
      <w:r>
        <w:rPr>
          <w:rFonts w:ascii="Times New Roman" w:eastAsia="Times New Roman" w:hAnsi="Times New Roman" w:cs="Times New Roman"/>
          <w:sz w:val="20"/>
          <w:szCs w:val="20"/>
        </w:rPr>
        <w:t>WHO</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Kemenkes</w:t>
      </w:r>
      <w:r>
        <w:rPr>
          <w:rFonts w:ascii="Times New Roman" w:eastAsia="Times New Roman" w:hAnsi="Times New Roman" w:cs="Times New Roman"/>
          <w:sz w:val="20"/>
          <w:szCs w:val="20"/>
        </w:rPr>
        <w:t xml:space="preserve"> RI, 2018). Central Java Province </w:t>
      </w:r>
      <w:r>
        <w:rPr>
          <w:rFonts w:ascii="Times New Roman" w:eastAsia="Times New Roman" w:hAnsi="Times New Roman" w:cs="Times New Roman"/>
          <w:sz w:val="20"/>
          <w:szCs w:val="20"/>
        </w:rPr>
        <w:t>reported 3.7% cases of malnutrition under five and 13.68% cases of undernourished children. Based on district/city health profile data, the prevalence of undernourished toddlers is 5.4% cases, very short toddlers are 31.15% cases, thin toddlers are 2.69% c</w:t>
      </w:r>
      <w:r>
        <w:rPr>
          <w:rFonts w:ascii="Times New Roman" w:eastAsia="Times New Roman" w:hAnsi="Times New Roman" w:cs="Times New Roman"/>
          <w:sz w:val="20"/>
          <w:szCs w:val="20"/>
        </w:rPr>
        <w:t xml:space="preserve">ases, and stunted toddlers are 20.06% cases in 2019 Kudus Regency recorded 3.6% of cases of under-five undernourished, 4.7% of cases of stunted under-five, and 2.9% of under-five cases (Central Java Health Office, 2019). There were 2,871 cases of stunting </w:t>
      </w:r>
      <w:r>
        <w:rPr>
          <w:rFonts w:ascii="Times New Roman" w:eastAsia="Times New Roman" w:hAnsi="Times New Roman" w:cs="Times New Roman"/>
          <w:sz w:val="20"/>
          <w:szCs w:val="20"/>
        </w:rPr>
        <w:t>under</w:t>
      </w:r>
      <w:r>
        <w:rPr>
          <w:rFonts w:ascii="Times New Roman" w:eastAsia="Times New Roman" w:hAnsi="Times New Roman" w:cs="Times New Roman"/>
          <w:sz w:val="20"/>
          <w:szCs w:val="20"/>
        </w:rPr>
        <w:t xml:space="preserve"> five in the Kudus Regency Health Center work area (4.7%) </w:t>
      </w:r>
      <w:r>
        <w:rPr>
          <w:rFonts w:ascii="Times New Roman" w:eastAsia="Times New Roman" w:hAnsi="Times New Roman" w:cs="Times New Roman"/>
          <w:sz w:val="20"/>
          <w:szCs w:val="20"/>
        </w:rPr>
        <w:t>(Kudus Regency Health Office, 2021).</w:t>
      </w:r>
      <w:r>
        <w:rPr>
          <w:rFonts w:ascii="Times New Roman" w:eastAsia="Times New Roman" w:hAnsi="Times New Roman" w:cs="Times New Roman"/>
          <w:sz w:val="20"/>
          <w:szCs w:val="20"/>
        </w:rPr>
        <w:t xml:space="preserve"> The trend of increasing the number of </w:t>
      </w:r>
      <w:r>
        <w:rPr>
          <w:rFonts w:ascii="Times New Roman" w:eastAsia="Times New Roman" w:hAnsi="Times New Roman" w:cs="Times New Roman"/>
          <w:sz w:val="20"/>
          <w:szCs w:val="20"/>
        </w:rPr>
        <w:t xml:space="preserve">cases of undernourished children under five is a health problem that must get attention from all levels of society. </w:t>
      </w:r>
    </w:p>
    <w:p w:rsidR="00CA0767">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Pr>
          <w:rFonts w:ascii="Times New Roman" w:eastAsia="Times New Roman" w:hAnsi="Times New Roman" w:cs="Times New Roman"/>
          <w:sz w:val="20"/>
          <w:szCs w:val="20"/>
        </w:rPr>
        <w:t>he increase in the number of stunting cases is caused by poor nutritional status in pregnant women, under-five nutritional status, limited knowledge of mothers about nutrition during pregnancy and after childbirth, access to maternal and child health servi</w:t>
      </w:r>
      <w:r>
        <w:rPr>
          <w:rFonts w:ascii="Times New Roman" w:eastAsia="Times New Roman" w:hAnsi="Times New Roman" w:cs="Times New Roman"/>
          <w:sz w:val="20"/>
          <w:szCs w:val="20"/>
        </w:rPr>
        <w:t xml:space="preserve">ces in health service facilities is limited, and the ability of the community to meet nutritional needs. </w:t>
      </w:r>
      <w:r>
        <w:rPr>
          <w:rFonts w:ascii="Times New Roman" w:eastAsia="Times New Roman" w:hAnsi="Times New Roman" w:cs="Times New Roman"/>
          <w:sz w:val="20"/>
          <w:szCs w:val="20"/>
        </w:rPr>
        <w:t>balance</w:t>
      </w:r>
      <w:r>
        <w:rPr>
          <w:rFonts w:ascii="Times New Roman" w:eastAsia="Times New Roman" w:hAnsi="Times New Roman" w:cs="Times New Roman"/>
          <w:sz w:val="20"/>
          <w:szCs w:val="20"/>
        </w:rPr>
        <w:t xml:space="preserve"> is still low (Ministry of Development of Disadvantaged Regions and Transmigration, 2017). The negative impacts that arise due to the increase i</w:t>
      </w:r>
      <w:r>
        <w:rPr>
          <w:rFonts w:ascii="Times New Roman" w:eastAsia="Times New Roman" w:hAnsi="Times New Roman" w:cs="Times New Roman"/>
          <w:sz w:val="20"/>
          <w:szCs w:val="20"/>
        </w:rPr>
        <w:t>n stunting cases include low intellectual levels of children due to stunted brain development, decreased learning achievement, stunted physical growth, decreased body immunity so that the risk of various diseases, especially infectious diseases, and body m</w:t>
      </w:r>
      <w:r>
        <w:rPr>
          <w:rFonts w:ascii="Times New Roman" w:eastAsia="Times New Roman" w:hAnsi="Times New Roman" w:cs="Times New Roman"/>
          <w:sz w:val="20"/>
          <w:szCs w:val="20"/>
        </w:rPr>
        <w:t>etabolism disorders (Ministry of Village Development for Disadvantaged Regions) and Transmigration, 2017). Various strategies have been carried out to solve stunting problems such as situational studies, strategic nutrition interventions, stun</w:t>
      </w:r>
      <w:r>
        <w:rPr>
          <w:rFonts w:ascii="Times New Roman" w:eastAsia="Times New Roman" w:hAnsi="Times New Roman" w:cs="Times New Roman"/>
          <w:sz w:val="20"/>
          <w:szCs w:val="20"/>
        </w:rPr>
        <w:t xml:space="preserve">ting consultations, drafting regulations and data management systems, fostering human resource development cadres, case finding and reporting, as well as monitoring periodic program evaluations (Kudus, 2021).  </w:t>
      </w:r>
    </w:p>
    <w:p w:rsidR="00CA0767">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Based on the results of a preliminary study a</w:t>
      </w:r>
      <w:r>
        <w:rPr>
          <w:rFonts w:ascii="Times New Roman" w:eastAsia="Times New Roman" w:hAnsi="Times New Roman" w:cs="Times New Roman"/>
          <w:sz w:val="20"/>
          <w:szCs w:val="20"/>
        </w:rPr>
        <w:t>t the Kudus District Health Office, several cross-</w:t>
      </w:r>
      <w:r>
        <w:rPr>
          <w:rFonts w:ascii="Times New Roman" w:eastAsia="Times New Roman" w:hAnsi="Times New Roman" w:cs="Times New Roman"/>
          <w:sz w:val="20"/>
          <w:szCs w:val="20"/>
        </w:rPr>
        <w:t>sectoral</w:t>
      </w:r>
      <w:r>
        <w:rPr>
          <w:rFonts w:ascii="Times New Roman" w:eastAsia="Times New Roman" w:hAnsi="Times New Roman" w:cs="Times New Roman"/>
          <w:sz w:val="20"/>
          <w:szCs w:val="20"/>
        </w:rPr>
        <w:t xml:space="preserve"> programs and policies have been implemented, namely community empowerment in waste management and latrines, supplementary feeding for children and pregnant women, and maternal and child health chec</w:t>
      </w:r>
      <w:r>
        <w:rPr>
          <w:rFonts w:ascii="Times New Roman" w:eastAsia="Times New Roman" w:hAnsi="Times New Roman" w:cs="Times New Roman"/>
          <w:sz w:val="20"/>
          <w:szCs w:val="20"/>
        </w:rPr>
        <w:t xml:space="preserve">ks. One indicator of the success of the stunting management program is the increasing number of new cases of stunting in the community. Improving the quality and quantity of health cadres is a necessity to achieve the target of </w:t>
      </w:r>
      <w:r>
        <w:rPr>
          <w:rFonts w:ascii="Times New Roman" w:eastAsia="Times New Roman" w:hAnsi="Times New Roman" w:cs="Times New Roman"/>
          <w:sz w:val="20"/>
          <w:szCs w:val="20"/>
        </w:rPr>
        <w:t>finding new cases actively i</w:t>
      </w:r>
      <w:r>
        <w:rPr>
          <w:rFonts w:ascii="Times New Roman" w:eastAsia="Times New Roman" w:hAnsi="Times New Roman" w:cs="Times New Roman"/>
          <w:sz w:val="20"/>
          <w:szCs w:val="20"/>
        </w:rPr>
        <w:t xml:space="preserve">n the community. </w:t>
      </w:r>
      <w:r>
        <w:rPr>
          <w:rFonts w:ascii="Times New Roman" w:eastAsia="Times New Roman" w:hAnsi="Times New Roman" w:cs="Times New Roman"/>
          <w:sz w:val="20"/>
          <w:szCs w:val="20"/>
        </w:rPr>
        <w:t>Puskesmas</w:t>
      </w:r>
      <w:r>
        <w:rPr>
          <w:rFonts w:ascii="Times New Roman" w:eastAsia="Times New Roman" w:hAnsi="Times New Roman" w:cs="Times New Roman"/>
          <w:sz w:val="20"/>
          <w:szCs w:val="20"/>
        </w:rPr>
        <w:t xml:space="preserve"> must be able to innovate in achieving the success indicators of stunting management programs in each work area. Health cadres are members of the community who are selected, trusted, willing, able, and have the time to find toddle</w:t>
      </w:r>
      <w:r>
        <w:rPr>
          <w:rFonts w:ascii="Times New Roman" w:eastAsia="Times New Roman" w:hAnsi="Times New Roman" w:cs="Times New Roman"/>
          <w:sz w:val="20"/>
          <w:szCs w:val="20"/>
        </w:rPr>
        <w:t>rs suspected of stunting in the community. Knowledge of health cadres about stunting early detection must be increased so that they can carry out the roles, functions, and tasks of community-based stunting management (</w:t>
      </w:r>
      <w:r>
        <w:rPr>
          <w:rFonts w:ascii="Times New Roman" w:eastAsia="Times New Roman" w:hAnsi="Times New Roman" w:cs="Times New Roman"/>
          <w:sz w:val="20"/>
          <w:szCs w:val="20"/>
        </w:rPr>
        <w:t>Notoatmodjo</w:t>
      </w:r>
      <w:r>
        <w:rPr>
          <w:rFonts w:ascii="Times New Roman" w:eastAsia="Times New Roman" w:hAnsi="Times New Roman" w:cs="Times New Roman"/>
          <w:sz w:val="20"/>
          <w:szCs w:val="20"/>
        </w:rPr>
        <w:t xml:space="preserve">, 2010).  </w:t>
      </w:r>
    </w:p>
    <w:p w:rsidR="00CA0767">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Several </w:t>
      </w:r>
      <w:r>
        <w:rPr>
          <w:rFonts w:ascii="Times New Roman" w:eastAsia="Times New Roman" w:hAnsi="Times New Roman" w:cs="Times New Roman"/>
          <w:sz w:val="20"/>
          <w:szCs w:val="20"/>
        </w:rPr>
        <w:t>previous studies explained that cadre development can increase the capacity of health cadres in handling stunting problems in the community. The development of health cadres can increase knowledge, self-efficacy, and skills in preventing stunting in toddle</w:t>
      </w:r>
      <w:r>
        <w:rPr>
          <w:rFonts w:ascii="Times New Roman" w:eastAsia="Times New Roman" w:hAnsi="Times New Roman" w:cs="Times New Roman"/>
          <w:sz w:val="20"/>
          <w:szCs w:val="20"/>
        </w:rPr>
        <w:t>rs (</w:t>
      </w:r>
      <w:r>
        <w:rPr>
          <w:rFonts w:ascii="Times New Roman" w:eastAsia="Times New Roman" w:hAnsi="Times New Roman" w:cs="Times New Roman"/>
          <w:sz w:val="20"/>
          <w:szCs w:val="20"/>
        </w:rPr>
        <w:t>Purnamasari</w:t>
      </w:r>
      <w:r>
        <w:rPr>
          <w:rFonts w:ascii="Times New Roman" w:eastAsia="Times New Roman" w:hAnsi="Times New Roman" w:cs="Times New Roman"/>
          <w:sz w:val="20"/>
          <w:szCs w:val="20"/>
        </w:rPr>
        <w:t xml:space="preserve"> et al., 2020). (</w:t>
      </w:r>
      <w:r>
        <w:rPr>
          <w:rFonts w:ascii="Times New Roman" w:eastAsia="Times New Roman" w:hAnsi="Times New Roman" w:cs="Times New Roman"/>
          <w:sz w:val="20"/>
          <w:szCs w:val="20"/>
        </w:rPr>
        <w:t>Adistie</w:t>
      </w:r>
      <w:r>
        <w:rPr>
          <w:rFonts w:ascii="Times New Roman" w:eastAsia="Times New Roman" w:hAnsi="Times New Roman" w:cs="Times New Roman"/>
          <w:sz w:val="20"/>
          <w:szCs w:val="20"/>
        </w:rPr>
        <w:t xml:space="preserve"> et al., 2018) explains that the training of health cadres increases knowledge and skills of early detection and stimulation of growth and development in toddlers. Another study stated that the implementation of the m</w:t>
      </w:r>
      <w:r>
        <w:rPr>
          <w:rFonts w:ascii="Times New Roman" w:eastAsia="Times New Roman" w:hAnsi="Times New Roman" w:cs="Times New Roman"/>
          <w:sz w:val="20"/>
          <w:szCs w:val="20"/>
        </w:rPr>
        <w:t>entoring program for health cadres increased knowledge about stunting (</w:t>
      </w:r>
      <w:r>
        <w:rPr>
          <w:rFonts w:ascii="Times New Roman" w:eastAsia="Times New Roman" w:hAnsi="Times New Roman" w:cs="Times New Roman"/>
          <w:sz w:val="20"/>
          <w:szCs w:val="20"/>
        </w:rPr>
        <w:t>Azizah</w:t>
      </w:r>
      <w:r>
        <w:rPr>
          <w:rFonts w:ascii="Times New Roman" w:eastAsia="Times New Roman" w:hAnsi="Times New Roman" w:cs="Times New Roman"/>
          <w:sz w:val="20"/>
          <w:szCs w:val="20"/>
        </w:rPr>
        <w:t xml:space="preserve"> &amp; </w:t>
      </w:r>
      <w:r>
        <w:rPr>
          <w:rFonts w:ascii="Times New Roman" w:eastAsia="Times New Roman" w:hAnsi="Times New Roman" w:cs="Times New Roman"/>
          <w:sz w:val="20"/>
          <w:szCs w:val="20"/>
        </w:rPr>
        <w:t>Wardhani</w:t>
      </w:r>
      <w:r>
        <w:rPr>
          <w:rFonts w:ascii="Times New Roman" w:eastAsia="Times New Roman" w:hAnsi="Times New Roman" w:cs="Times New Roman"/>
          <w:sz w:val="20"/>
          <w:szCs w:val="20"/>
        </w:rPr>
        <w:t>, 2020). (</w:t>
      </w:r>
      <w:r>
        <w:rPr>
          <w:rFonts w:ascii="Times New Roman" w:eastAsia="Times New Roman" w:hAnsi="Times New Roman" w:cs="Times New Roman"/>
          <w:sz w:val="20"/>
          <w:szCs w:val="20"/>
        </w:rPr>
        <w:t>Yuliani</w:t>
      </w:r>
      <w:r>
        <w:rPr>
          <w:rFonts w:ascii="Times New Roman" w:eastAsia="Times New Roman" w:hAnsi="Times New Roman" w:cs="Times New Roman"/>
          <w:sz w:val="20"/>
          <w:szCs w:val="20"/>
        </w:rPr>
        <w:t>, 2019) reported that training increased the knowledge of health cadres about early detection of stunting. Increased knowledge and skills of health cad</w:t>
      </w:r>
      <w:r>
        <w:rPr>
          <w:rFonts w:ascii="Times New Roman" w:eastAsia="Times New Roman" w:hAnsi="Times New Roman" w:cs="Times New Roman"/>
          <w:sz w:val="20"/>
          <w:szCs w:val="20"/>
        </w:rPr>
        <w:t>res in conducting early detection of stunting are obtained through the training of health cadres (</w:t>
      </w:r>
      <w:r>
        <w:rPr>
          <w:rFonts w:ascii="Times New Roman" w:eastAsia="Times New Roman" w:hAnsi="Times New Roman" w:cs="Times New Roman"/>
          <w:sz w:val="20"/>
          <w:szCs w:val="20"/>
        </w:rPr>
        <w:t>Masyita</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Haerianti</w:t>
      </w:r>
      <w:r>
        <w:rPr>
          <w:rFonts w:ascii="Times New Roman" w:eastAsia="Times New Roman" w:hAnsi="Times New Roman" w:cs="Times New Roman"/>
          <w:sz w:val="20"/>
          <w:szCs w:val="20"/>
        </w:rPr>
        <w:t xml:space="preserve">, 2018). </w:t>
      </w:r>
    </w:p>
    <w:p w:rsidR="00CA0767">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Based on this, increasing the knowledge of health cadres about early detection of stunting can be done through continuous coaching. Nurs</w:t>
      </w:r>
      <w:r>
        <w:rPr>
          <w:rFonts w:ascii="Times New Roman" w:eastAsia="Times New Roman" w:hAnsi="Times New Roman" w:cs="Times New Roman"/>
          <w:sz w:val="20"/>
          <w:szCs w:val="20"/>
        </w:rPr>
        <w:t>es collaborate with health cadres in the early detection of stunting in the community. The role of nurses in increasing knowledge of stunting early detection in health cadres shows the consistency and independence of nurses in community-based stunting manageme</w:t>
      </w:r>
      <w:r>
        <w:rPr>
          <w:rFonts w:ascii="Times New Roman" w:eastAsia="Times New Roman" w:hAnsi="Times New Roman" w:cs="Times New Roman"/>
          <w:sz w:val="20"/>
          <w:szCs w:val="20"/>
        </w:rPr>
        <w:t xml:space="preserve">nt efforts. The results of the research are expected to improve science and nursing services. This study aims to identify the </w:t>
      </w:r>
      <w:r>
        <w:rPr>
          <w:rFonts w:ascii="Times New Roman" w:eastAsia="Times New Roman" w:hAnsi="Times New Roman" w:cs="Times New Roman"/>
          <w:sz w:val="20"/>
          <w:szCs w:val="20"/>
        </w:rPr>
        <w:t xml:space="preserve">effect of </w:t>
      </w:r>
      <w:r>
        <w:rPr>
          <w:rFonts w:ascii="Times New Roman" w:eastAsia="Times New Roman" w:hAnsi="Times New Roman" w:cs="Times New Roman"/>
          <w:i/>
          <w:sz w:val="20"/>
          <w:szCs w:val="20"/>
        </w:rPr>
        <w:t>upskilling</w:t>
      </w:r>
      <w:r>
        <w:rPr>
          <w:rFonts w:ascii="Times New Roman" w:eastAsia="Times New Roman" w:hAnsi="Times New Roman" w:cs="Times New Roman"/>
          <w:sz w:val="20"/>
          <w:szCs w:val="20"/>
        </w:rPr>
        <w:t xml:space="preserve"> health cadres on knowledge of community-based stunting early detection. </w:t>
      </w:r>
    </w:p>
    <w:p w:rsidR="00CA0767">
      <w:pPr>
        <w:tabs>
          <w:tab w:val="right" w:pos="8504"/>
        </w:tabs>
        <w:spacing w:after="0" w:line="360" w:lineRule="auto"/>
        <w:rPr>
          <w:rFonts w:ascii="Times New Roman" w:eastAsia="Times New Roman" w:hAnsi="Times New Roman" w:cs="Times New Roman"/>
          <w:b/>
        </w:rPr>
      </w:pPr>
    </w:p>
    <w:p w:rsidR="00CA0767">
      <w:pPr>
        <w:tabs>
          <w:tab w:val="right" w:pos="8504"/>
        </w:tabs>
        <w:spacing w:after="0" w:line="360" w:lineRule="auto"/>
        <w:rPr>
          <w:rFonts w:ascii="Times New Roman" w:eastAsia="Times New Roman" w:hAnsi="Times New Roman" w:cs="Times New Roman"/>
          <w:b/>
        </w:rPr>
      </w:pPr>
      <w:r>
        <w:rPr>
          <w:rFonts w:ascii="Times New Roman" w:eastAsia="Times New Roman" w:hAnsi="Times New Roman" w:cs="Times New Roman"/>
          <w:b/>
        </w:rPr>
        <w:t xml:space="preserve">METHOD </w:t>
      </w:r>
    </w:p>
    <w:p w:rsidR="00CA0767">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research design used an</w:t>
      </w:r>
      <w:r>
        <w:rPr>
          <w:rFonts w:ascii="Times New Roman" w:eastAsia="Times New Roman" w:hAnsi="Times New Roman" w:cs="Times New Roman"/>
          <w:sz w:val="20"/>
          <w:szCs w:val="20"/>
        </w:rPr>
        <w:t xml:space="preserve"> experimental </w:t>
      </w:r>
      <w:r>
        <w:rPr>
          <w:rFonts w:ascii="Times New Roman" w:eastAsia="Times New Roman" w:hAnsi="Times New Roman" w:cs="Times New Roman"/>
          <w:sz w:val="20"/>
          <w:szCs w:val="20"/>
        </w:rPr>
        <w:t>quasi</w:t>
      </w:r>
      <w:r>
        <w:rPr>
          <w:rFonts w:ascii="Times New Roman" w:eastAsia="Times New Roman" w:hAnsi="Times New Roman" w:cs="Times New Roman"/>
          <w:sz w:val="20"/>
          <w:szCs w:val="20"/>
        </w:rPr>
        <w:t xml:space="preserve"> with the type of </w:t>
      </w:r>
      <w:r>
        <w:rPr>
          <w:rFonts w:ascii="Times New Roman" w:eastAsia="Times New Roman" w:hAnsi="Times New Roman" w:cs="Times New Roman"/>
          <w:i/>
          <w:sz w:val="20"/>
          <w:szCs w:val="20"/>
        </w:rPr>
        <w:t>pretest</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and posttest with a control group</w:t>
      </w:r>
      <w:r>
        <w:rPr>
          <w:rFonts w:ascii="Times New Roman" w:eastAsia="Times New Roman" w:hAnsi="Times New Roman" w:cs="Times New Roman"/>
          <w:sz w:val="20"/>
          <w:szCs w:val="20"/>
        </w:rPr>
        <w:t xml:space="preserve">. This research was conducted in September-November 2021 in the </w:t>
      </w:r>
      <w:r>
        <w:rPr>
          <w:rFonts w:ascii="Times New Roman" w:eastAsia="Times New Roman" w:hAnsi="Times New Roman" w:cs="Times New Roman"/>
          <w:sz w:val="20"/>
          <w:szCs w:val="20"/>
        </w:rPr>
        <w:t>Undaan</w:t>
      </w:r>
      <w:r>
        <w:rPr>
          <w:rFonts w:ascii="Times New Roman" w:eastAsia="Times New Roman" w:hAnsi="Times New Roman" w:cs="Times New Roman"/>
          <w:sz w:val="20"/>
          <w:szCs w:val="20"/>
        </w:rPr>
        <w:t xml:space="preserve"> Health Center Work Area for the intervention group and the </w:t>
      </w:r>
      <w:r>
        <w:rPr>
          <w:rFonts w:ascii="Times New Roman" w:eastAsia="Times New Roman" w:hAnsi="Times New Roman" w:cs="Times New Roman"/>
          <w:sz w:val="20"/>
          <w:szCs w:val="20"/>
        </w:rPr>
        <w:t>Dawe</w:t>
      </w:r>
      <w:r>
        <w:rPr>
          <w:rFonts w:ascii="Times New Roman" w:eastAsia="Times New Roman" w:hAnsi="Times New Roman" w:cs="Times New Roman"/>
          <w:sz w:val="20"/>
          <w:szCs w:val="20"/>
        </w:rPr>
        <w:t xml:space="preserve"> Health Center Work Area for the control group.</w:t>
      </w:r>
      <w:r>
        <w:rPr>
          <w:rFonts w:ascii="Times New Roman" w:eastAsia="Times New Roman" w:hAnsi="Times New Roman" w:cs="Times New Roman"/>
          <w:sz w:val="20"/>
          <w:szCs w:val="20"/>
        </w:rPr>
        <w:t xml:space="preserve"> The number of research respondents was 33 health cadres for each intervention and control group through the </w:t>
      </w:r>
      <w:r>
        <w:rPr>
          <w:rFonts w:ascii="Times New Roman" w:eastAsia="Times New Roman" w:hAnsi="Times New Roman" w:cs="Times New Roman"/>
          <w:i/>
          <w:sz w:val="20"/>
          <w:szCs w:val="20"/>
        </w:rPr>
        <w:t>purposive sampling technique</w:t>
      </w:r>
      <w:r>
        <w:rPr>
          <w:rFonts w:ascii="Times New Roman" w:eastAsia="Times New Roman" w:hAnsi="Times New Roman" w:cs="Times New Roman"/>
          <w:sz w:val="20"/>
          <w:szCs w:val="20"/>
        </w:rPr>
        <w:t>. The inclusion criteria of research respondents were active health cadres, never attended stunting early detection trainin</w:t>
      </w:r>
      <w:r>
        <w:rPr>
          <w:rFonts w:ascii="Times New Roman" w:eastAsia="Times New Roman" w:hAnsi="Times New Roman" w:cs="Times New Roman"/>
          <w:sz w:val="20"/>
          <w:szCs w:val="20"/>
        </w:rPr>
        <w:t xml:space="preserve">g, age 19-59 years, minimum education level of elementary school, able to read, write, and communicate in Indonesian. The independent variable is the </w:t>
      </w:r>
      <w:r>
        <w:rPr>
          <w:rFonts w:ascii="Times New Roman" w:eastAsia="Times New Roman" w:hAnsi="Times New Roman" w:cs="Times New Roman"/>
          <w:i/>
          <w:sz w:val="20"/>
          <w:szCs w:val="20"/>
        </w:rPr>
        <w:t>upskilling</w:t>
      </w:r>
      <w:r>
        <w:rPr>
          <w:rFonts w:ascii="Times New Roman" w:eastAsia="Times New Roman" w:hAnsi="Times New Roman" w:cs="Times New Roman"/>
          <w:sz w:val="20"/>
          <w:szCs w:val="20"/>
        </w:rPr>
        <w:t xml:space="preserve"> of health cadres and the dependent variable is the knowledge of community-based early detection</w:t>
      </w:r>
      <w:r>
        <w:rPr>
          <w:rFonts w:ascii="Times New Roman" w:eastAsia="Times New Roman" w:hAnsi="Times New Roman" w:cs="Times New Roman"/>
          <w:sz w:val="20"/>
          <w:szCs w:val="20"/>
        </w:rPr>
        <w:t xml:space="preserve"> of stunting. The research instruments used were the </w:t>
      </w:r>
      <w:r>
        <w:rPr>
          <w:rFonts w:ascii="Times New Roman" w:eastAsia="Times New Roman" w:hAnsi="Times New Roman" w:cs="Times New Roman"/>
          <w:i/>
          <w:sz w:val="20"/>
          <w:szCs w:val="20"/>
        </w:rPr>
        <w:t>health care workers knowledge questionnaire towards assessment and management of malnutrition in children</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Tafese</w:t>
      </w:r>
      <w:r>
        <w:rPr>
          <w:rFonts w:ascii="Times New Roman" w:eastAsia="Times New Roman" w:hAnsi="Times New Roman" w:cs="Times New Roman"/>
          <w:sz w:val="20"/>
          <w:szCs w:val="20"/>
        </w:rPr>
        <w:t xml:space="preserve"> &amp; </w:t>
      </w:r>
      <w:r>
        <w:rPr>
          <w:rFonts w:ascii="Times New Roman" w:eastAsia="Times New Roman" w:hAnsi="Times New Roman" w:cs="Times New Roman"/>
          <w:sz w:val="20"/>
          <w:szCs w:val="20"/>
        </w:rPr>
        <w:t>Shele</w:t>
      </w:r>
      <w:r>
        <w:rPr>
          <w:rFonts w:ascii="Times New Roman" w:eastAsia="Times New Roman" w:hAnsi="Times New Roman" w:cs="Times New Roman"/>
          <w:sz w:val="20"/>
          <w:szCs w:val="20"/>
        </w:rPr>
        <w:t xml:space="preserve">, 2015) and the </w:t>
      </w:r>
      <w:r>
        <w:rPr>
          <w:rFonts w:ascii="Times New Roman" w:eastAsia="Times New Roman" w:hAnsi="Times New Roman" w:cs="Times New Roman"/>
          <w:i/>
          <w:sz w:val="20"/>
          <w:szCs w:val="20"/>
        </w:rPr>
        <w:t>knowledge scale about inpatient management of severely malnourishe</w:t>
      </w:r>
      <w:r>
        <w:rPr>
          <w:rFonts w:ascii="Times New Roman" w:eastAsia="Times New Roman" w:hAnsi="Times New Roman" w:cs="Times New Roman"/>
          <w:i/>
          <w:sz w:val="20"/>
          <w:szCs w:val="20"/>
        </w:rPr>
        <w:t xml:space="preserve">d children </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Mogre</w:t>
      </w:r>
      <w:r>
        <w:rPr>
          <w:rFonts w:ascii="Times New Roman" w:eastAsia="Times New Roman" w:hAnsi="Times New Roman" w:cs="Times New Roman"/>
          <w:sz w:val="20"/>
          <w:szCs w:val="20"/>
        </w:rPr>
        <w:t xml:space="preserve"> et al., 2017) with a reliability value = 0.83. </w:t>
      </w:r>
    </w:p>
    <w:p w:rsidR="00CA0767">
      <w:pPr>
        <w:spacing w:after="0" w:line="360" w:lineRule="auto"/>
        <w:ind w:firstLine="720"/>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The intervention given to the intervention group was </w:t>
      </w:r>
      <w:r>
        <w:rPr>
          <w:rFonts w:ascii="Times New Roman" w:eastAsia="Times New Roman" w:hAnsi="Times New Roman" w:cs="Times New Roman"/>
          <w:i/>
          <w:sz w:val="20"/>
          <w:szCs w:val="20"/>
        </w:rPr>
        <w:t>upskilling</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of health cadres in four sessions in two days with </w:t>
      </w:r>
      <w:r>
        <w:rPr>
          <w:rFonts w:ascii="Times New Roman" w:eastAsia="Times New Roman" w:hAnsi="Times New Roman" w:cs="Times New Roman"/>
          <w:sz w:val="20"/>
          <w:szCs w:val="20"/>
        </w:rPr>
        <w:t>a duration</w:t>
      </w:r>
      <w:r>
        <w:rPr>
          <w:rFonts w:ascii="Times New Roman" w:eastAsia="Times New Roman" w:hAnsi="Times New Roman" w:cs="Times New Roman"/>
          <w:sz w:val="20"/>
          <w:szCs w:val="20"/>
        </w:rPr>
        <w:t xml:space="preserve"> of 45-60 minutes per session with the following details: </w:t>
      </w:r>
    </w:p>
    <w:p w:rsidR="00CA0767">
      <w:pPr>
        <w:numPr>
          <w:ilvl w:val="0"/>
          <w:numId w:val="1"/>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Session 1 was health education about the concept of growth and development and stunting in the form of interactive lectures, discussions, and question and answer </w:t>
      </w:r>
    </w:p>
    <w:p w:rsidR="00CA0767">
      <w:pPr>
        <w:numPr>
          <w:ilvl w:val="0"/>
          <w:numId w:val="1"/>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sessions</w:t>
      </w:r>
      <w:r>
        <w:rPr>
          <w:rFonts w:ascii="Times New Roman" w:eastAsia="Times New Roman" w:hAnsi="Times New Roman" w:cs="Times New Roman"/>
          <w:color w:val="000000"/>
          <w:sz w:val="20"/>
          <w:szCs w:val="20"/>
        </w:rPr>
        <w:t>. 2, namely health education on early detection of stunting and malnutrition in the f</w:t>
      </w:r>
      <w:r>
        <w:rPr>
          <w:rFonts w:ascii="Times New Roman" w:eastAsia="Times New Roman" w:hAnsi="Times New Roman" w:cs="Times New Roman"/>
          <w:color w:val="000000"/>
          <w:sz w:val="20"/>
          <w:szCs w:val="20"/>
        </w:rPr>
        <w:t xml:space="preserve">orm of interactive lectures, discussions, and questions and answers </w:t>
      </w:r>
    </w:p>
    <w:p w:rsidR="00CA0767">
      <w:pPr>
        <w:numPr>
          <w:ilvl w:val="0"/>
          <w:numId w:val="1"/>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Session 3, namely health education on communication, information, and education in the community in the form of interactive lectures, discussions, and questions and answers </w:t>
      </w:r>
    </w:p>
    <w:p w:rsidR="00CA0767">
      <w:pPr>
        <w:numPr>
          <w:ilvl w:val="0"/>
          <w:numId w:val="1"/>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Session 4, na</w:t>
      </w:r>
      <w:r>
        <w:rPr>
          <w:rFonts w:ascii="Times New Roman" w:eastAsia="Times New Roman" w:hAnsi="Times New Roman" w:cs="Times New Roman"/>
          <w:color w:val="000000"/>
          <w:sz w:val="20"/>
          <w:szCs w:val="20"/>
        </w:rPr>
        <w:t xml:space="preserve">mely early detection of stunting and malnutrition community-based demonstration and </w:t>
      </w:r>
      <w:r>
        <w:rPr>
          <w:rFonts w:ascii="Times New Roman" w:eastAsia="Times New Roman" w:hAnsi="Times New Roman" w:cs="Times New Roman"/>
          <w:i/>
          <w:color w:val="000000"/>
          <w:sz w:val="20"/>
          <w:szCs w:val="20"/>
        </w:rPr>
        <w:t>role play</w:t>
      </w:r>
      <w:r>
        <w:rPr>
          <w:rFonts w:ascii="Times New Roman" w:eastAsia="Times New Roman" w:hAnsi="Times New Roman" w:cs="Times New Roman"/>
          <w:color w:val="000000"/>
          <w:sz w:val="20"/>
          <w:szCs w:val="20"/>
        </w:rPr>
        <w:t xml:space="preserve">. </w:t>
      </w:r>
    </w:p>
    <w:p w:rsidR="00CA0767">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Health cadres filled out the </w:t>
      </w:r>
      <w:r>
        <w:rPr>
          <w:rFonts w:ascii="Times New Roman" w:eastAsia="Times New Roman" w:hAnsi="Times New Roman" w:cs="Times New Roman"/>
          <w:i/>
          <w:sz w:val="20"/>
          <w:szCs w:val="20"/>
        </w:rPr>
        <w:t>informed consent</w:t>
      </w:r>
      <w:r>
        <w:rPr>
          <w:rFonts w:ascii="Times New Roman" w:eastAsia="Times New Roman" w:hAnsi="Times New Roman" w:cs="Times New Roman"/>
          <w:sz w:val="20"/>
          <w:szCs w:val="20"/>
        </w:rPr>
        <w:t xml:space="preserve"> after reading the research information sheet, then took the </w:t>
      </w:r>
      <w:r>
        <w:rPr>
          <w:rFonts w:ascii="Times New Roman" w:eastAsia="Times New Roman" w:hAnsi="Times New Roman" w:cs="Times New Roman"/>
          <w:i/>
          <w:sz w:val="20"/>
          <w:szCs w:val="20"/>
        </w:rPr>
        <w:t>pretest</w:t>
      </w:r>
      <w:r>
        <w:rPr>
          <w:rFonts w:ascii="Times New Roman" w:eastAsia="Times New Roman" w:hAnsi="Times New Roman" w:cs="Times New Roman"/>
          <w:sz w:val="20"/>
          <w:szCs w:val="20"/>
        </w:rPr>
        <w:t xml:space="preserve"> before and </w:t>
      </w:r>
      <w:r>
        <w:rPr>
          <w:rFonts w:ascii="Times New Roman" w:eastAsia="Times New Roman" w:hAnsi="Times New Roman" w:cs="Times New Roman"/>
          <w:i/>
          <w:sz w:val="20"/>
          <w:szCs w:val="20"/>
        </w:rPr>
        <w:t>posttest</w:t>
      </w:r>
      <w:r>
        <w:rPr>
          <w:rFonts w:ascii="Times New Roman" w:eastAsia="Times New Roman" w:hAnsi="Times New Roman" w:cs="Times New Roman"/>
          <w:sz w:val="20"/>
          <w:szCs w:val="20"/>
        </w:rPr>
        <w:t xml:space="preserve"> after the intervention. Re</w:t>
      </w:r>
      <w:r>
        <w:rPr>
          <w:rFonts w:ascii="Times New Roman" w:eastAsia="Times New Roman" w:hAnsi="Times New Roman" w:cs="Times New Roman"/>
          <w:sz w:val="20"/>
          <w:szCs w:val="20"/>
        </w:rPr>
        <w:t>searchers compiled modules and educational videos for stunting early detection based on references as supporting media. The control group was only given community-based stunting early detection education modules and videos.</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This study used </w:t>
      </w:r>
      <w:r>
        <w:rPr>
          <w:rFonts w:ascii="Times New Roman" w:eastAsia="Times New Roman" w:hAnsi="Times New Roman" w:cs="Times New Roman"/>
          <w:sz w:val="20"/>
          <w:szCs w:val="20"/>
        </w:rPr>
        <w:t>univariate</w:t>
      </w:r>
      <w:r>
        <w:rPr>
          <w:rFonts w:ascii="Times New Roman" w:eastAsia="Times New Roman" w:hAnsi="Times New Roman" w:cs="Times New Roman"/>
          <w:sz w:val="20"/>
          <w:szCs w:val="20"/>
        </w:rPr>
        <w:t xml:space="preserve"> and b</w:t>
      </w:r>
      <w:r>
        <w:rPr>
          <w:rFonts w:ascii="Times New Roman" w:eastAsia="Times New Roman" w:hAnsi="Times New Roman" w:cs="Times New Roman"/>
          <w:sz w:val="20"/>
          <w:szCs w:val="20"/>
        </w:rPr>
        <w:t xml:space="preserve">ivariate analysis. In </w:t>
      </w:r>
      <w:r>
        <w:rPr>
          <w:rFonts w:ascii="Times New Roman" w:eastAsia="Times New Roman" w:hAnsi="Times New Roman" w:cs="Times New Roman"/>
          <w:sz w:val="20"/>
          <w:szCs w:val="20"/>
        </w:rPr>
        <w:t>univariate</w:t>
      </w:r>
      <w:r>
        <w:rPr>
          <w:rFonts w:ascii="Times New Roman" w:eastAsia="Times New Roman" w:hAnsi="Times New Roman" w:cs="Times New Roman"/>
          <w:sz w:val="20"/>
          <w:szCs w:val="20"/>
        </w:rPr>
        <w:t xml:space="preserve"> analysis, data are presented in terms of frequency and percentage on the variables of gender, marital status, education, occupation, income, and previous training experience. The data are presented in the form of mean and s</w:t>
      </w:r>
      <w:r>
        <w:rPr>
          <w:rFonts w:ascii="Times New Roman" w:eastAsia="Times New Roman" w:hAnsi="Times New Roman" w:cs="Times New Roman"/>
          <w:sz w:val="20"/>
          <w:szCs w:val="20"/>
        </w:rPr>
        <w:t xml:space="preserve">tandard deviation on the variables of age, length of service as a health </w:t>
      </w:r>
      <w:r>
        <w:rPr>
          <w:rFonts w:ascii="Times New Roman" w:eastAsia="Times New Roman" w:hAnsi="Times New Roman" w:cs="Times New Roman"/>
          <w:sz w:val="20"/>
          <w:szCs w:val="20"/>
        </w:rPr>
        <w:t>cadre</w:t>
      </w:r>
      <w:r>
        <w:rPr>
          <w:rFonts w:ascii="Times New Roman" w:eastAsia="Times New Roman" w:hAnsi="Times New Roman" w:cs="Times New Roman"/>
          <w:sz w:val="20"/>
          <w:szCs w:val="20"/>
        </w:rPr>
        <w:t>, and knowledge of early detection of stunting. Based on the results of the normality test using the Kolmogorov Smirnov test, it was found that the knowledge variable was not nor</w:t>
      </w:r>
      <w:r>
        <w:rPr>
          <w:rFonts w:ascii="Times New Roman" w:eastAsia="Times New Roman" w:hAnsi="Times New Roman" w:cs="Times New Roman"/>
          <w:sz w:val="20"/>
          <w:szCs w:val="20"/>
        </w:rPr>
        <w:t>mally distributed (p &lt;0.05) so that the data analysis used the Wilcoxon test to test the mean difference between the two groups before and after the intervention. Whether or not there is an intervention effect can be seen from the results of the Mann-Whitn</w:t>
      </w:r>
      <w:r>
        <w:rPr>
          <w:rFonts w:ascii="Times New Roman" w:eastAsia="Times New Roman" w:hAnsi="Times New Roman" w:cs="Times New Roman"/>
          <w:sz w:val="20"/>
          <w:szCs w:val="20"/>
        </w:rPr>
        <w:t xml:space="preserve">ey test. This research has passed the ethical test of the Health Research Ethics Commission of the University </w:t>
      </w:r>
      <w:r>
        <w:rPr>
          <w:rFonts w:ascii="Times New Roman" w:eastAsia="Times New Roman" w:hAnsi="Times New Roman" w:cs="Times New Roman"/>
          <w:sz w:val="20"/>
          <w:szCs w:val="20"/>
        </w:rPr>
        <w:t>of</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Muhammadiyah</w:t>
      </w:r>
      <w:r>
        <w:rPr>
          <w:rFonts w:ascii="Times New Roman" w:eastAsia="Times New Roman" w:hAnsi="Times New Roman" w:cs="Times New Roman"/>
          <w:sz w:val="20"/>
          <w:szCs w:val="20"/>
        </w:rPr>
        <w:t xml:space="preserve"> Kudus No. 60/Z-7/KEPK/UMKU/X/2021. </w:t>
      </w:r>
    </w:p>
    <w:p w:rsidR="00CA0767">
      <w:pPr>
        <w:spacing w:after="0" w:line="360" w:lineRule="auto"/>
        <w:ind w:firstLine="567"/>
        <w:jc w:val="both"/>
        <w:rPr>
          <w:rFonts w:ascii="Times New Roman" w:eastAsia="Times New Roman" w:hAnsi="Times New Roman" w:cs="Times New Roman"/>
          <w:b/>
          <w:color w:val="000000"/>
          <w:sz w:val="20"/>
          <w:szCs w:val="20"/>
        </w:rPr>
      </w:pPr>
    </w:p>
    <w:p w:rsidR="00CA0767">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b/>
        </w:rPr>
        <w:t>RESULTS AND DISCUSSION</w:t>
      </w:r>
      <w:r>
        <w:rPr>
          <w:rFonts w:ascii="Times New Roman" w:eastAsia="Times New Roman" w:hAnsi="Times New Roman" w:cs="Times New Roman"/>
          <w:sz w:val="20"/>
          <w:szCs w:val="20"/>
        </w:rPr>
        <w:t xml:space="preserve"> </w:t>
      </w:r>
    </w:p>
    <w:p w:rsidR="00CA0767">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Table 1 explains that the average age of health cadres in the intervention group is 34.73 years with an SD of 7.509 and the control group is 43.09 </w:t>
      </w:r>
      <w:r>
        <w:rPr>
          <w:rFonts w:ascii="Times New Roman" w:eastAsia="Times New Roman" w:hAnsi="Times New Roman" w:cs="Times New Roman"/>
          <w:sz w:val="20"/>
          <w:szCs w:val="20"/>
        </w:rPr>
        <w:t xml:space="preserve">years with an SD of 9.409. The average length of time being a health </w:t>
      </w:r>
      <w:r>
        <w:rPr>
          <w:rFonts w:ascii="Times New Roman" w:eastAsia="Times New Roman" w:hAnsi="Times New Roman" w:cs="Times New Roman"/>
          <w:sz w:val="20"/>
          <w:szCs w:val="20"/>
        </w:rPr>
        <w:t>cadre</w:t>
      </w:r>
      <w:r>
        <w:rPr>
          <w:rFonts w:ascii="Times New Roman" w:eastAsia="Times New Roman" w:hAnsi="Times New Roman" w:cs="Times New Roman"/>
          <w:sz w:val="20"/>
          <w:szCs w:val="20"/>
        </w:rPr>
        <w:t xml:space="preserve"> in the intervention group was 5.88</w:t>
      </w:r>
      <w:r>
        <w:rPr>
          <w:rFonts w:ascii="Times New Roman" w:eastAsia="Times New Roman" w:hAnsi="Times New Roman" w:cs="Times New Roman"/>
          <w:sz w:val="20"/>
          <w:szCs w:val="20"/>
        </w:rPr>
        <w:t xml:space="preserve"> years with an SD of 7.188 and the control group was 9 years with an SD of 9.196. </w:t>
      </w:r>
    </w:p>
    <w:p w:rsidR="00CA0767">
      <w:pPr>
        <w:pBdr>
          <w:top w:val="nil"/>
          <w:left w:val="nil"/>
          <w:bottom w:val="nil"/>
          <w:right w:val="nil"/>
          <w:between w:val="nil"/>
        </w:pBdr>
        <w:spacing w:after="0" w:line="360" w:lineRule="auto"/>
        <w:ind w:left="3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Table 1.</w:t>
      </w:r>
      <w:r>
        <w:rPr>
          <w:rFonts w:ascii="Times New Roman" w:eastAsia="Times New Roman" w:hAnsi="Times New Roman" w:cs="Times New Roman"/>
          <w:color w:val="000000"/>
          <w:sz w:val="20"/>
          <w:szCs w:val="20"/>
        </w:rPr>
        <w:t xml:space="preserve"> Characteristics of health workers based on age and length into health volunteers (n = 66)</w:t>
      </w:r>
    </w:p>
    <w:tbl>
      <w:tblPr>
        <w:tblStyle w:val="a"/>
        <w:tblW w:w="4345" w:type="dxa"/>
        <w:jc w:val="center"/>
        <w:tblBorders>
          <w:top w:val="single" w:sz="4" w:space="0" w:color="000000"/>
          <w:left w:val="nil"/>
          <w:bottom w:val="single" w:sz="4" w:space="0" w:color="000000"/>
          <w:right w:val="nil"/>
          <w:insideH w:val="single" w:sz="4" w:space="0" w:color="000000"/>
          <w:insideV w:val="nil"/>
        </w:tblBorders>
        <w:tblLayout w:type="fixed"/>
        <w:tblLook w:val="0400"/>
      </w:tblPr>
      <w:tblGrid>
        <w:gridCol w:w="1548"/>
        <w:gridCol w:w="728"/>
        <w:gridCol w:w="679"/>
        <w:gridCol w:w="714"/>
        <w:gridCol w:w="676"/>
      </w:tblGrid>
      <w:tr>
        <w:tblPrEx>
          <w:tblW w:w="4345" w:type="dxa"/>
          <w:jc w:val="center"/>
          <w:tblBorders>
            <w:top w:val="single" w:sz="4" w:space="0" w:color="000000"/>
            <w:left w:val="nil"/>
            <w:bottom w:val="single" w:sz="4" w:space="0" w:color="000000"/>
            <w:right w:val="nil"/>
            <w:insideH w:val="single" w:sz="4" w:space="0" w:color="000000"/>
            <w:insideV w:val="nil"/>
          </w:tblBorders>
          <w:tblLayout w:type="fixed"/>
          <w:tblLook w:val="0400"/>
        </w:tblPrEx>
        <w:trPr>
          <w:jc w:val="center"/>
        </w:trPr>
        <w:tc>
          <w:tcPr>
            <w:tcW w:w="1548" w:type="dxa"/>
            <w:vMerge w:val="restart"/>
            <w:vAlign w:val="center"/>
          </w:tcPr>
          <w:p w:rsidR="00CA0767">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Characteristics </w:t>
            </w:r>
          </w:p>
        </w:tc>
        <w:tc>
          <w:tcPr>
            <w:tcW w:w="1407" w:type="dxa"/>
            <w:gridSpan w:val="2"/>
          </w:tcPr>
          <w:p w:rsidR="00CA0767">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Intervention</w:t>
            </w:r>
          </w:p>
        </w:tc>
        <w:tc>
          <w:tcPr>
            <w:tcW w:w="1390" w:type="dxa"/>
            <w:gridSpan w:val="2"/>
          </w:tcPr>
          <w:p w:rsidR="00CA0767">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Control</w:t>
            </w:r>
          </w:p>
        </w:tc>
      </w:tr>
      <w:tr>
        <w:tblPrEx>
          <w:tblW w:w="4345" w:type="dxa"/>
          <w:jc w:val="center"/>
          <w:tblLayout w:type="fixed"/>
          <w:tblLook w:val="0400"/>
        </w:tblPrEx>
        <w:trPr>
          <w:jc w:val="center"/>
        </w:trPr>
        <w:tc>
          <w:tcPr>
            <w:tcW w:w="1548" w:type="dxa"/>
            <w:vMerge/>
            <w:vAlign w:val="center"/>
          </w:tcPr>
          <w:p w:rsidR="00CA0767">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728" w:type="dxa"/>
          </w:tcPr>
          <w:p w:rsidR="00CA0767">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Mean</w:t>
            </w:r>
          </w:p>
        </w:tc>
        <w:tc>
          <w:tcPr>
            <w:tcW w:w="679" w:type="dxa"/>
          </w:tcPr>
          <w:p w:rsidR="00CA0767">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SD</w:t>
            </w:r>
          </w:p>
        </w:tc>
        <w:tc>
          <w:tcPr>
            <w:tcW w:w="714" w:type="dxa"/>
          </w:tcPr>
          <w:p w:rsidR="00CA0767">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Mean</w:t>
            </w:r>
          </w:p>
        </w:tc>
        <w:tc>
          <w:tcPr>
            <w:tcW w:w="676" w:type="dxa"/>
          </w:tcPr>
          <w:p w:rsidR="00CA0767">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SD</w:t>
            </w:r>
          </w:p>
        </w:tc>
      </w:tr>
      <w:tr>
        <w:tblPrEx>
          <w:tblW w:w="4345" w:type="dxa"/>
          <w:jc w:val="center"/>
          <w:tblLayout w:type="fixed"/>
          <w:tblLook w:val="0400"/>
        </w:tblPrEx>
        <w:trPr>
          <w:jc w:val="center"/>
        </w:trPr>
        <w:tc>
          <w:tcPr>
            <w:tcW w:w="1548" w:type="dxa"/>
          </w:tcPr>
          <w:p w:rsidR="00CA0767">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Age </w:t>
            </w:r>
          </w:p>
        </w:tc>
        <w:tc>
          <w:tcPr>
            <w:tcW w:w="728" w:type="dxa"/>
          </w:tcPr>
          <w:p w:rsidR="00CA0767">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34.73</w:t>
            </w:r>
          </w:p>
        </w:tc>
        <w:tc>
          <w:tcPr>
            <w:tcW w:w="679" w:type="dxa"/>
          </w:tcPr>
          <w:p w:rsidR="00CA0767">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7.509</w:t>
            </w:r>
          </w:p>
        </w:tc>
        <w:tc>
          <w:tcPr>
            <w:tcW w:w="714" w:type="dxa"/>
          </w:tcPr>
          <w:p w:rsidR="00CA0767">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43.09</w:t>
            </w:r>
          </w:p>
        </w:tc>
        <w:tc>
          <w:tcPr>
            <w:tcW w:w="676" w:type="dxa"/>
          </w:tcPr>
          <w:p w:rsidR="00CA0767">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9.409</w:t>
            </w:r>
          </w:p>
        </w:tc>
      </w:tr>
      <w:tr>
        <w:tblPrEx>
          <w:tblW w:w="4345" w:type="dxa"/>
          <w:jc w:val="center"/>
          <w:tblLayout w:type="fixed"/>
          <w:tblLook w:val="0400"/>
        </w:tblPrEx>
        <w:trPr>
          <w:jc w:val="center"/>
        </w:trPr>
        <w:tc>
          <w:tcPr>
            <w:tcW w:w="1548" w:type="dxa"/>
          </w:tcPr>
          <w:p w:rsidR="00CA0767">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Lama into health volunteers </w:t>
            </w:r>
          </w:p>
        </w:tc>
        <w:tc>
          <w:tcPr>
            <w:tcW w:w="728" w:type="dxa"/>
          </w:tcPr>
          <w:p w:rsidR="00CA0767">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5.88</w:t>
            </w:r>
          </w:p>
        </w:tc>
        <w:tc>
          <w:tcPr>
            <w:tcW w:w="679" w:type="dxa"/>
          </w:tcPr>
          <w:p w:rsidR="00CA0767">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7.188</w:t>
            </w:r>
          </w:p>
        </w:tc>
        <w:tc>
          <w:tcPr>
            <w:tcW w:w="714" w:type="dxa"/>
          </w:tcPr>
          <w:p w:rsidR="00CA0767">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676" w:type="dxa"/>
          </w:tcPr>
          <w:p w:rsidR="00CA0767">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9.196</w:t>
            </w:r>
          </w:p>
        </w:tc>
      </w:tr>
    </w:tbl>
    <w:p w:rsidR="00CA0767">
      <w:pPr>
        <w:spacing w:after="0" w:line="360" w:lineRule="auto"/>
        <w:ind w:firstLine="720"/>
        <w:jc w:val="both"/>
        <w:rPr>
          <w:rFonts w:ascii="Times New Roman" w:eastAsia="Times New Roman" w:hAnsi="Times New Roman" w:cs="Times New Roman"/>
          <w:b/>
          <w:sz w:val="20"/>
          <w:szCs w:val="20"/>
        </w:rPr>
      </w:pPr>
    </w:p>
    <w:p w:rsidR="00CA0767">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Table 2 states entirely all cadres in the intervention and control groups were female or 33 people (100%). Most of the married health cadres in the intervention group were 32 people (97%) and the control group was 29 people (87.9%). Half of the health cadres h</w:t>
      </w:r>
      <w:r>
        <w:rPr>
          <w:rFonts w:ascii="Times New Roman" w:eastAsia="Times New Roman" w:hAnsi="Times New Roman" w:cs="Times New Roman"/>
          <w:sz w:val="20"/>
          <w:szCs w:val="20"/>
        </w:rPr>
        <w:t>ad a high school education level/equivalent in the intervention group as many as 18 people (54.5%) and the control group as many as 19 people (57.6%). Most of the health cadres worked as housewives in the intervention group as many as 29 people (87.9%) and</w:t>
      </w:r>
      <w:r>
        <w:rPr>
          <w:rFonts w:ascii="Times New Roman" w:eastAsia="Times New Roman" w:hAnsi="Times New Roman" w:cs="Times New Roman"/>
          <w:sz w:val="20"/>
          <w:szCs w:val="20"/>
        </w:rPr>
        <w:t xml:space="preserve"> 18 people in the control group (54.5%). Most of the health cadres did not have a job in the intervention group as many as 27 people (81.8%) and the control group as many as 24 people (72.7%). Half of the health cadres or as many as 18 people (54.5) had at</w:t>
      </w:r>
      <w:r>
        <w:rPr>
          <w:rFonts w:ascii="Times New Roman" w:eastAsia="Times New Roman" w:hAnsi="Times New Roman" w:cs="Times New Roman"/>
          <w:sz w:val="20"/>
          <w:szCs w:val="20"/>
        </w:rPr>
        <w:t>tended training in the intervention group and most of the health cadres or as many as 28 people (84.8%) had attended the training.</w:t>
      </w:r>
    </w:p>
    <w:p w:rsidR="00CA0767">
      <w:pPr>
        <w:pBdr>
          <w:top w:val="nil"/>
          <w:left w:val="nil"/>
          <w:bottom w:val="nil"/>
          <w:right w:val="nil"/>
          <w:between w:val="nil"/>
        </w:pBdr>
        <w:spacing w:after="0" w:line="360" w:lineRule="auto"/>
        <w:ind w:left="360"/>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after="0" w:line="360" w:lineRule="auto"/>
        <w:ind w:left="360"/>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after="0" w:line="360" w:lineRule="auto"/>
        <w:ind w:left="360"/>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after="0" w:line="360" w:lineRule="auto"/>
        <w:ind w:left="360"/>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after="0" w:line="360" w:lineRule="auto"/>
        <w:ind w:left="3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Table 2.</w:t>
      </w:r>
      <w:r>
        <w:rPr>
          <w:rFonts w:ascii="Times New Roman" w:eastAsia="Times New Roman" w:hAnsi="Times New Roman" w:cs="Times New Roman"/>
          <w:color w:val="000000"/>
          <w:sz w:val="20"/>
          <w:szCs w:val="20"/>
        </w:rPr>
        <w:t xml:space="preserve"> Characteristics of health cadres by gender, marital status, education, occupation, income, training experience (n=66)</w:t>
      </w:r>
    </w:p>
    <w:tbl>
      <w:tblPr>
        <w:tblStyle w:val="a0"/>
        <w:tblW w:w="4799" w:type="dxa"/>
        <w:jc w:val="center"/>
        <w:tblBorders>
          <w:top w:val="single" w:sz="4" w:space="0" w:color="000000"/>
          <w:left w:val="nil"/>
          <w:bottom w:val="single" w:sz="4" w:space="0" w:color="000000"/>
          <w:right w:val="nil"/>
          <w:insideH w:val="single" w:sz="4" w:space="0" w:color="000000"/>
          <w:insideV w:val="nil"/>
        </w:tblBorders>
        <w:tblLayout w:type="fixed"/>
        <w:tblLook w:val="0400"/>
      </w:tblPr>
      <w:tblGrid>
        <w:gridCol w:w="2187"/>
        <w:gridCol w:w="662"/>
        <w:gridCol w:w="596"/>
        <w:gridCol w:w="748"/>
        <w:gridCol w:w="606"/>
      </w:tblGrid>
      <w:tr>
        <w:tblPrEx>
          <w:tblW w:w="4799" w:type="dxa"/>
          <w:jc w:val="center"/>
          <w:tblBorders>
            <w:top w:val="single" w:sz="4" w:space="0" w:color="000000"/>
            <w:left w:val="nil"/>
            <w:bottom w:val="single" w:sz="4" w:space="0" w:color="000000"/>
            <w:right w:val="nil"/>
            <w:insideH w:val="single" w:sz="4" w:space="0" w:color="000000"/>
            <w:insideV w:val="nil"/>
          </w:tblBorders>
          <w:tblLayout w:type="fixed"/>
          <w:tblLook w:val="0400"/>
        </w:tblPrEx>
        <w:trPr>
          <w:jc w:val="center"/>
        </w:trPr>
        <w:tc>
          <w:tcPr>
            <w:tcW w:w="2187" w:type="dxa"/>
            <w:vMerge w:val="restart"/>
            <w:vAlign w:val="center"/>
          </w:tcPr>
          <w:p w:rsidR="00CA0767">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Characteristics of </w:t>
            </w:r>
          </w:p>
        </w:tc>
        <w:tc>
          <w:tcPr>
            <w:tcW w:w="1258" w:type="dxa"/>
            <w:gridSpan w:val="2"/>
          </w:tcPr>
          <w:p w:rsidR="00CA0767">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Intervention</w:t>
            </w:r>
          </w:p>
        </w:tc>
        <w:tc>
          <w:tcPr>
            <w:tcW w:w="1354" w:type="dxa"/>
            <w:gridSpan w:val="2"/>
          </w:tcPr>
          <w:p w:rsidR="00CA0767">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Control</w:t>
            </w:r>
          </w:p>
        </w:tc>
      </w:tr>
      <w:tr>
        <w:tblPrEx>
          <w:tblW w:w="4799" w:type="dxa"/>
          <w:jc w:val="center"/>
          <w:tblLayout w:type="fixed"/>
          <w:tblLook w:val="0400"/>
        </w:tblPrEx>
        <w:trPr>
          <w:jc w:val="center"/>
        </w:trPr>
        <w:tc>
          <w:tcPr>
            <w:tcW w:w="2187" w:type="dxa"/>
            <w:vMerge/>
            <w:vAlign w:val="center"/>
          </w:tcPr>
          <w:p w:rsidR="00CA0767">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662" w:type="dxa"/>
          </w:tcPr>
          <w:p w:rsidR="00CA0767">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w:t>
            </w:r>
          </w:p>
        </w:tc>
        <w:tc>
          <w:tcPr>
            <w:tcW w:w="596" w:type="dxa"/>
          </w:tcPr>
          <w:p w:rsidR="00CA0767">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748" w:type="dxa"/>
          </w:tcPr>
          <w:p w:rsidR="00CA0767">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w:t>
            </w:r>
          </w:p>
        </w:tc>
        <w:tc>
          <w:tcPr>
            <w:tcW w:w="606" w:type="dxa"/>
          </w:tcPr>
          <w:p w:rsidR="00CA0767">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r>
      <w:tr>
        <w:tblPrEx>
          <w:tblW w:w="4799" w:type="dxa"/>
          <w:jc w:val="center"/>
          <w:tblLayout w:type="fixed"/>
          <w:tblLook w:val="0400"/>
        </w:tblPrEx>
        <w:trPr>
          <w:jc w:val="center"/>
        </w:trPr>
        <w:tc>
          <w:tcPr>
            <w:tcW w:w="2187" w:type="dxa"/>
          </w:tcPr>
          <w:p w:rsidR="00CA0767">
            <w:pPr>
              <w:pBdr>
                <w:top w:val="nil"/>
                <w:left w:val="nil"/>
                <w:bottom w:val="nil"/>
                <w:right w:val="nil"/>
                <w:between w:val="nil"/>
              </w:pBdr>
              <w:spacing w:line="276"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Gender </w:t>
            </w:r>
          </w:p>
          <w:p w:rsidR="00CA0767">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Female </w:t>
            </w:r>
          </w:p>
        </w:tc>
        <w:tc>
          <w:tcPr>
            <w:tcW w:w="662" w:type="dxa"/>
          </w:tcPr>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596" w:type="dxa"/>
          </w:tcPr>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748" w:type="dxa"/>
          </w:tcPr>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606" w:type="dxa"/>
          </w:tcPr>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r>
      <w:tr>
        <w:tblPrEx>
          <w:tblW w:w="4799" w:type="dxa"/>
          <w:jc w:val="center"/>
          <w:tblLayout w:type="fixed"/>
          <w:tblLook w:val="0400"/>
        </w:tblPrEx>
        <w:trPr>
          <w:jc w:val="center"/>
        </w:trPr>
        <w:tc>
          <w:tcPr>
            <w:tcW w:w="2187" w:type="dxa"/>
          </w:tcPr>
          <w:p w:rsidR="00CA0767">
            <w:pPr>
              <w:pBdr>
                <w:top w:val="nil"/>
                <w:left w:val="nil"/>
                <w:bottom w:val="nil"/>
                <w:right w:val="nil"/>
                <w:between w:val="nil"/>
              </w:pBdr>
              <w:spacing w:line="276"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Marital status </w:t>
            </w:r>
          </w:p>
          <w:p w:rsidR="00CA0767">
            <w:pPr>
              <w:pBdr>
                <w:top w:val="nil"/>
                <w:left w:val="nil"/>
                <w:bottom w:val="nil"/>
                <w:right w:val="nil"/>
                <w:between w:val="nil"/>
              </w:pBdr>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Not/unmarried</w:t>
            </w:r>
          </w:p>
          <w:p w:rsidR="00CA0767">
            <w:pPr>
              <w:pBdr>
                <w:top w:val="nil"/>
                <w:left w:val="nil"/>
                <w:bottom w:val="nil"/>
                <w:right w:val="nil"/>
                <w:between w:val="nil"/>
              </w:pBdr>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Married </w:t>
            </w:r>
          </w:p>
          <w:p w:rsidR="00CA0767">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Widow/widower </w:t>
            </w:r>
          </w:p>
        </w:tc>
        <w:tc>
          <w:tcPr>
            <w:tcW w:w="662" w:type="dxa"/>
          </w:tcPr>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p w:rsidR="00CA0767">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96" w:type="dxa"/>
          </w:tcPr>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97</w:t>
            </w:r>
          </w:p>
          <w:p w:rsidR="00CA0767">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748" w:type="dxa"/>
          </w:tcPr>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p w:rsidR="00CA0767">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606" w:type="dxa"/>
          </w:tcPr>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87.9</w:t>
            </w:r>
          </w:p>
          <w:p w:rsidR="00CA0767">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w:t>
            </w:r>
          </w:p>
        </w:tc>
      </w:tr>
      <w:tr>
        <w:tblPrEx>
          <w:tblW w:w="4799" w:type="dxa"/>
          <w:jc w:val="center"/>
          <w:tblLayout w:type="fixed"/>
          <w:tblLook w:val="0400"/>
        </w:tblPrEx>
        <w:trPr>
          <w:jc w:val="center"/>
        </w:trPr>
        <w:tc>
          <w:tcPr>
            <w:tcW w:w="2187" w:type="dxa"/>
          </w:tcPr>
          <w:p w:rsidR="00CA0767">
            <w:pPr>
              <w:pBdr>
                <w:top w:val="nil"/>
                <w:left w:val="nil"/>
                <w:bottom w:val="nil"/>
                <w:right w:val="nil"/>
                <w:between w:val="nil"/>
              </w:pBdr>
              <w:spacing w:line="276"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Education level </w:t>
            </w:r>
          </w:p>
          <w:p w:rsidR="00CA0767">
            <w:pPr>
              <w:pBdr>
                <w:top w:val="nil"/>
                <w:left w:val="nil"/>
                <w:bottom w:val="nil"/>
                <w:right w:val="nil"/>
                <w:between w:val="nil"/>
              </w:pBdr>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SD/equivalent </w:t>
            </w:r>
          </w:p>
          <w:p w:rsidR="00CA0767">
            <w:pPr>
              <w:pBdr>
                <w:top w:val="nil"/>
                <w:left w:val="nil"/>
                <w:bottom w:val="nil"/>
                <w:right w:val="nil"/>
                <w:between w:val="nil"/>
              </w:pBdr>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Junior high school/equivalent </w:t>
            </w:r>
          </w:p>
          <w:p w:rsidR="00CA0767">
            <w:pPr>
              <w:pBdr>
                <w:top w:val="nil"/>
                <w:left w:val="nil"/>
                <w:bottom w:val="nil"/>
                <w:right w:val="nil"/>
                <w:between w:val="nil"/>
              </w:pBdr>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high school/equivalent </w:t>
            </w:r>
          </w:p>
          <w:p w:rsidR="00CA0767">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college </w:t>
            </w:r>
          </w:p>
        </w:tc>
        <w:tc>
          <w:tcPr>
            <w:tcW w:w="662" w:type="dxa"/>
          </w:tcPr>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p w:rsidR="00CA0767">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596" w:type="dxa"/>
          </w:tcPr>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15.2</w:t>
            </w: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30.3</w:t>
            </w: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54.5</w:t>
            </w:r>
          </w:p>
          <w:p w:rsidR="00CA0767">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748" w:type="dxa"/>
          </w:tcPr>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p w:rsidR="00CA0767">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06" w:type="dxa"/>
          </w:tcPr>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18.2</w:t>
            </w: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18.2</w:t>
            </w: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57.6</w:t>
            </w:r>
          </w:p>
          <w:p w:rsidR="00CA0767">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w:t>
            </w:r>
          </w:p>
        </w:tc>
      </w:tr>
      <w:tr>
        <w:tblPrEx>
          <w:tblW w:w="4799" w:type="dxa"/>
          <w:jc w:val="center"/>
          <w:tblLayout w:type="fixed"/>
          <w:tblLook w:val="0400"/>
        </w:tblPrEx>
        <w:trPr>
          <w:jc w:val="center"/>
        </w:trPr>
        <w:tc>
          <w:tcPr>
            <w:tcW w:w="2187" w:type="dxa"/>
          </w:tcPr>
          <w:p w:rsidR="00CA0767">
            <w:pPr>
              <w:pBdr>
                <w:top w:val="nil"/>
                <w:left w:val="nil"/>
                <w:bottom w:val="nil"/>
                <w:right w:val="nil"/>
                <w:between w:val="nil"/>
              </w:pBdr>
              <w:spacing w:line="276"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Occupation </w:t>
            </w:r>
          </w:p>
          <w:p w:rsidR="00CA0767">
            <w:pPr>
              <w:pBdr>
                <w:top w:val="nil"/>
                <w:left w:val="nil"/>
                <w:bottom w:val="nil"/>
                <w:right w:val="nil"/>
                <w:between w:val="nil"/>
              </w:pBdr>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Not working </w:t>
            </w:r>
          </w:p>
          <w:p w:rsidR="00CA0767">
            <w:pPr>
              <w:pBdr>
                <w:top w:val="nil"/>
                <w:left w:val="nil"/>
                <w:bottom w:val="nil"/>
                <w:right w:val="nil"/>
                <w:between w:val="nil"/>
              </w:pBdr>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Housewife </w:t>
            </w:r>
          </w:p>
          <w:p w:rsidR="00CA0767">
            <w:pPr>
              <w:pBdr>
                <w:top w:val="nil"/>
                <w:left w:val="nil"/>
                <w:bottom w:val="nil"/>
                <w:right w:val="nil"/>
                <w:between w:val="nil"/>
              </w:pBdr>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Private employee </w:t>
            </w:r>
          </w:p>
          <w:p w:rsidR="00CA0767">
            <w:pPr>
              <w:pBdr>
                <w:top w:val="nil"/>
                <w:left w:val="nil"/>
                <w:bottom w:val="nil"/>
                <w:right w:val="nil"/>
                <w:between w:val="nil"/>
              </w:pBdr>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Entrepreneur </w:t>
            </w:r>
          </w:p>
          <w:p w:rsidR="00CA0767">
            <w:pPr>
              <w:pBdr>
                <w:top w:val="nil"/>
                <w:left w:val="nil"/>
                <w:bottom w:val="nil"/>
                <w:right w:val="nil"/>
                <w:between w:val="nil"/>
              </w:pBdr>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Trader </w:t>
            </w:r>
          </w:p>
          <w:p w:rsidR="00CA0767">
            <w:pPr>
              <w:pBdr>
                <w:top w:val="nil"/>
                <w:left w:val="nil"/>
                <w:bottom w:val="nil"/>
                <w:right w:val="nil"/>
                <w:between w:val="nil"/>
              </w:pBdr>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Teacher/lecturer </w:t>
            </w:r>
          </w:p>
          <w:p w:rsidR="00CA0767">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Others </w:t>
            </w:r>
          </w:p>
        </w:tc>
        <w:tc>
          <w:tcPr>
            <w:tcW w:w="662" w:type="dxa"/>
          </w:tcPr>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p w:rsidR="00CA0767">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596" w:type="dxa"/>
          </w:tcPr>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87.9</w:t>
            </w: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w:t>
            </w: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p w:rsidR="00CA0767">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748" w:type="dxa"/>
          </w:tcPr>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p w:rsidR="00CA0767">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606" w:type="dxa"/>
          </w:tcPr>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w:t>
            </w: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54.5</w:t>
            </w: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w:t>
            </w: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w:t>
            </w: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p w:rsidR="00CA0767">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w:t>
            </w:r>
          </w:p>
        </w:tc>
      </w:tr>
      <w:tr>
        <w:tblPrEx>
          <w:tblW w:w="4799" w:type="dxa"/>
          <w:jc w:val="center"/>
          <w:tblLayout w:type="fixed"/>
          <w:tblLook w:val="0400"/>
        </w:tblPrEx>
        <w:trPr>
          <w:jc w:val="center"/>
        </w:trPr>
        <w:tc>
          <w:tcPr>
            <w:tcW w:w="2187" w:type="dxa"/>
          </w:tcPr>
          <w:p w:rsidR="00CA0767">
            <w:pPr>
              <w:pBdr>
                <w:top w:val="nil"/>
                <w:left w:val="nil"/>
                <w:bottom w:val="nil"/>
                <w:right w:val="nil"/>
                <w:between w:val="nil"/>
              </w:pBdr>
              <w:spacing w:line="276"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Income </w:t>
            </w:r>
          </w:p>
          <w:p w:rsidR="00CA0767">
            <w:pPr>
              <w:pBdr>
                <w:top w:val="nil"/>
                <w:left w:val="nil"/>
                <w:bottom w:val="nil"/>
                <w:right w:val="nil"/>
                <w:between w:val="nil"/>
              </w:pBdr>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Do not have </w:t>
            </w:r>
          </w:p>
          <w:p w:rsidR="00CA0767">
            <w:pPr>
              <w:pBdr>
                <w:top w:val="nil"/>
                <w:left w:val="nil"/>
                <w:bottom w:val="nil"/>
                <w:right w:val="nil"/>
                <w:between w:val="nil"/>
              </w:pBdr>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&lt; </w:t>
            </w:r>
            <w:r>
              <w:rPr>
                <w:rFonts w:ascii="Times New Roman" w:eastAsia="Times New Roman" w:hAnsi="Times New Roman" w:cs="Times New Roman"/>
                <w:color w:val="000000"/>
                <w:sz w:val="20"/>
                <w:szCs w:val="20"/>
              </w:rPr>
              <w:t>Rp</w:t>
            </w:r>
            <w:r>
              <w:rPr>
                <w:rFonts w:ascii="Times New Roman" w:eastAsia="Times New Roman" w:hAnsi="Times New Roman" w:cs="Times New Roman"/>
                <w:color w:val="000000"/>
                <w:sz w:val="20"/>
                <w:szCs w:val="20"/>
              </w:rPr>
              <w:t>. 2.290.995,-*</w:t>
            </w:r>
          </w:p>
          <w:p w:rsidR="00CA0767">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Rp</w:t>
            </w:r>
            <w:r>
              <w:rPr>
                <w:rFonts w:ascii="Times New Roman" w:eastAsia="Times New Roman" w:hAnsi="Times New Roman" w:cs="Times New Roman"/>
                <w:color w:val="000000"/>
                <w:sz w:val="20"/>
                <w:szCs w:val="20"/>
              </w:rPr>
              <w:t>. 2,290,995, - *</w:t>
            </w:r>
          </w:p>
        </w:tc>
        <w:tc>
          <w:tcPr>
            <w:tcW w:w="662" w:type="dxa"/>
          </w:tcPr>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p>
        </w:tc>
        <w:tc>
          <w:tcPr>
            <w:tcW w:w="596" w:type="dxa"/>
          </w:tcPr>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p>
        </w:tc>
        <w:tc>
          <w:tcPr>
            <w:tcW w:w="748" w:type="dxa"/>
          </w:tcPr>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27 4 2 81.8 12.1 6.1 24 6</w:t>
            </w:r>
          </w:p>
          <w:p w:rsidR="00CA0767">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p>
        </w:tc>
        <w:tc>
          <w:tcPr>
            <w:tcW w:w="606" w:type="dxa"/>
          </w:tcPr>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p>
        </w:tc>
      </w:tr>
      <w:tr>
        <w:tblPrEx>
          <w:tblW w:w="4799" w:type="dxa"/>
          <w:jc w:val="center"/>
          <w:tblLayout w:type="fixed"/>
          <w:tblLook w:val="0400"/>
        </w:tblPrEx>
        <w:trPr>
          <w:jc w:val="center"/>
        </w:trPr>
        <w:tc>
          <w:tcPr>
            <w:tcW w:w="2187" w:type="dxa"/>
          </w:tcPr>
          <w:p w:rsidR="00CA0767">
            <w:pPr>
              <w:pBdr>
                <w:top w:val="nil"/>
                <w:left w:val="nil"/>
                <w:bottom w:val="nil"/>
                <w:right w:val="nil"/>
                <w:between w:val="nil"/>
              </w:pBdr>
              <w:spacing w:line="276"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Training Experience </w:t>
            </w:r>
          </w:p>
          <w:p w:rsidR="00CA0767">
            <w:pPr>
              <w:pBdr>
                <w:top w:val="nil"/>
                <w:left w:val="nil"/>
                <w:bottom w:val="nil"/>
                <w:right w:val="nil"/>
                <w:between w:val="nil"/>
              </w:pBdr>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Never </w:t>
            </w:r>
          </w:p>
          <w:p w:rsidR="00CA0767">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Never </w:t>
            </w:r>
          </w:p>
        </w:tc>
        <w:tc>
          <w:tcPr>
            <w:tcW w:w="662" w:type="dxa"/>
          </w:tcPr>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p w:rsidR="00CA0767">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596" w:type="dxa"/>
          </w:tcPr>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54.5</w:t>
            </w:r>
          </w:p>
          <w:p w:rsidR="00CA0767">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45.5</w:t>
            </w:r>
          </w:p>
        </w:tc>
        <w:tc>
          <w:tcPr>
            <w:tcW w:w="748" w:type="dxa"/>
          </w:tcPr>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w:t>
            </w:r>
          </w:p>
          <w:p w:rsidR="00CA0767">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606" w:type="dxa"/>
          </w:tcPr>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84.8</w:t>
            </w:r>
          </w:p>
          <w:p w:rsidR="00CA0767">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15 2</w:t>
            </w:r>
          </w:p>
        </w:tc>
      </w:tr>
      <w:tr>
        <w:tblPrEx>
          <w:tblW w:w="4799" w:type="dxa"/>
          <w:jc w:val="center"/>
          <w:tblLayout w:type="fixed"/>
          <w:tblLook w:val="0400"/>
        </w:tblPrEx>
        <w:trPr>
          <w:jc w:val="center"/>
        </w:trPr>
        <w:tc>
          <w:tcPr>
            <w:tcW w:w="2187" w:type="dxa"/>
          </w:tcPr>
          <w:p w:rsidR="00CA0767">
            <w:pPr>
              <w:pBdr>
                <w:top w:val="nil"/>
                <w:left w:val="nil"/>
                <w:bottom w:val="nil"/>
                <w:right w:val="nil"/>
                <w:between w:val="nil"/>
              </w:pBdr>
              <w:spacing w:after="200" w:line="276"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Total </w:t>
            </w:r>
          </w:p>
        </w:tc>
        <w:tc>
          <w:tcPr>
            <w:tcW w:w="662" w:type="dxa"/>
          </w:tcPr>
          <w:p w:rsidR="00CA0767">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33</w:t>
            </w:r>
          </w:p>
        </w:tc>
        <w:tc>
          <w:tcPr>
            <w:tcW w:w="596" w:type="dxa"/>
          </w:tcPr>
          <w:p w:rsidR="00CA0767">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100</w:t>
            </w:r>
          </w:p>
        </w:tc>
        <w:tc>
          <w:tcPr>
            <w:tcW w:w="748" w:type="dxa"/>
          </w:tcPr>
          <w:p w:rsidR="00CA0767">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33</w:t>
            </w:r>
          </w:p>
        </w:tc>
        <w:tc>
          <w:tcPr>
            <w:tcW w:w="606" w:type="dxa"/>
          </w:tcPr>
          <w:p w:rsidR="00CA0767">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100</w:t>
            </w:r>
          </w:p>
        </w:tc>
      </w:tr>
    </w:tbl>
    <w:p w:rsidR="00CA0767">
      <w:pPr>
        <w:spacing w:after="0" w:line="360" w:lineRule="auto"/>
        <w:ind w:firstLine="720"/>
        <w:jc w:val="both"/>
        <w:rPr>
          <w:rFonts w:ascii="Times New Roman" w:eastAsia="Times New Roman" w:hAnsi="Times New Roman" w:cs="Times New Roman"/>
          <w:sz w:val="20"/>
          <w:szCs w:val="20"/>
        </w:rPr>
      </w:pPr>
    </w:p>
    <w:p w:rsidR="00CA0767">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Table 3 describes the average knowledge of health cadres about community-based early detection of stunting before the intervention of 73.33 with SD of 10,466 and after the intervention of 82.79 with SD of 6,556 in the intervention group. The average knowledge of h</w:t>
      </w:r>
      <w:r>
        <w:rPr>
          <w:rFonts w:ascii="Times New Roman" w:eastAsia="Times New Roman" w:hAnsi="Times New Roman" w:cs="Times New Roman"/>
          <w:sz w:val="20"/>
          <w:szCs w:val="20"/>
        </w:rPr>
        <w:t xml:space="preserve">ealth cadres about community-based early detection of stunting before intervention was 74.91 with SD 7,059 and after the intervention </w:t>
      </w:r>
      <w:r>
        <w:rPr>
          <w:rFonts w:ascii="Times New Roman" w:eastAsia="Times New Roman" w:hAnsi="Times New Roman" w:cs="Times New Roman"/>
          <w:sz w:val="20"/>
          <w:szCs w:val="20"/>
        </w:rPr>
        <w:t>was</w:t>
      </w:r>
      <w:r>
        <w:rPr>
          <w:rFonts w:ascii="Times New Roman" w:eastAsia="Times New Roman" w:hAnsi="Times New Roman" w:cs="Times New Roman"/>
          <w:sz w:val="20"/>
          <w:szCs w:val="20"/>
        </w:rPr>
        <w:t xml:space="preserve"> 77.18 with SD 5,259 in the control group.</w:t>
      </w:r>
    </w:p>
    <w:p w:rsidR="00CA0767">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Table 4 states that there is a statistically significant difference in the knowl</w:t>
      </w:r>
      <w:r>
        <w:rPr>
          <w:rFonts w:ascii="Times New Roman" w:eastAsia="Times New Roman" w:hAnsi="Times New Roman" w:cs="Times New Roman"/>
          <w:sz w:val="20"/>
          <w:szCs w:val="20"/>
        </w:rPr>
        <w:t xml:space="preserve">edge of health cadres about community-based early detection of stunting before and after the intervention in both the intervention group with p = 0.000 (p &lt;0.05). However, there was no statistically significant difference in the knowledge of health cadres </w:t>
      </w:r>
      <w:r>
        <w:rPr>
          <w:rFonts w:ascii="Times New Roman" w:eastAsia="Times New Roman" w:hAnsi="Times New Roman" w:cs="Times New Roman"/>
          <w:sz w:val="20"/>
          <w:szCs w:val="20"/>
        </w:rPr>
        <w:t xml:space="preserve">about community-based early detection of stunting in the control group with p = 0.065 (p&gt;0.05). Table 5 explains that there is a statistically significant effect of </w:t>
      </w:r>
      <w:r>
        <w:rPr>
          <w:rFonts w:ascii="Times New Roman" w:eastAsia="Times New Roman" w:hAnsi="Times New Roman" w:cs="Times New Roman"/>
          <w:i/>
          <w:sz w:val="20"/>
          <w:szCs w:val="20"/>
        </w:rPr>
        <w:t>upskilling</w:t>
      </w:r>
      <w:r>
        <w:rPr>
          <w:rFonts w:ascii="Times New Roman" w:eastAsia="Times New Roman" w:hAnsi="Times New Roman" w:cs="Times New Roman"/>
          <w:sz w:val="20"/>
          <w:szCs w:val="20"/>
        </w:rPr>
        <w:t xml:space="preserve"> health cadres on knowledge about community-based early detection of stunting with p-value = 0.001 (p &lt;0.05). </w:t>
      </w:r>
    </w:p>
    <w:p w:rsidR="00CA076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0"/>
          <w:szCs w:val="20"/>
        </w:rPr>
        <w:sectPr>
          <w:type w:val="continuous"/>
          <w:pgSz w:w="11906" w:h="16838"/>
          <w:pgMar w:top="1701" w:right="1416" w:bottom="1701" w:left="1418" w:header="709" w:footer="709" w:gutter="0"/>
          <w:cols w:num="2" w:space="720" w:equalWidth="0">
            <w:col w:w="4394" w:space="284"/>
            <w:col w:w="4394"/>
          </w:cols>
        </w:sectPr>
      </w:pPr>
      <w:r>
        <w:br w:type="page"/>
      </w:r>
    </w:p>
    <w:p w:rsidR="00CA0767">
      <w:pPr>
        <w:pBdr>
          <w:top w:val="nil"/>
          <w:left w:val="nil"/>
          <w:bottom w:val="nil"/>
          <w:right w:val="nil"/>
          <w:between w:val="nil"/>
        </w:pBdr>
        <w:spacing w:after="0" w:line="360" w:lineRule="auto"/>
        <w:ind w:left="3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Table 3.</w:t>
      </w:r>
      <w:r>
        <w:rPr>
          <w:rFonts w:ascii="Times New Roman" w:eastAsia="Times New Roman" w:hAnsi="Times New Roman" w:cs="Times New Roman"/>
          <w:color w:val="000000"/>
          <w:sz w:val="20"/>
          <w:szCs w:val="20"/>
        </w:rPr>
        <w:t xml:space="preserve"> Description of the knowledge of health cadres about early detection of community-based stunting in the</w:t>
      </w:r>
      <w:r>
        <w:rPr>
          <w:rFonts w:ascii="Times New Roman" w:eastAsia="Times New Roman" w:hAnsi="Times New Roman" w:cs="Times New Roman"/>
          <w:color w:val="000000"/>
          <w:sz w:val="20"/>
          <w:szCs w:val="20"/>
        </w:rPr>
        <w:t xml:space="preserve"> intervention and control groups before and after the intervention (n=66)</w:t>
      </w:r>
    </w:p>
    <w:tbl>
      <w:tblPr>
        <w:tblStyle w:val="a1"/>
        <w:tblW w:w="8674" w:type="dxa"/>
        <w:jc w:val="center"/>
        <w:tblBorders>
          <w:top w:val="single" w:sz="4" w:space="0" w:color="000000"/>
          <w:left w:val="nil"/>
          <w:bottom w:val="single" w:sz="4" w:space="0" w:color="000000"/>
          <w:right w:val="nil"/>
          <w:insideH w:val="nil"/>
          <w:insideV w:val="nil"/>
        </w:tblBorders>
        <w:tblLayout w:type="fixed"/>
        <w:tblLook w:val="0400"/>
      </w:tblPr>
      <w:tblGrid>
        <w:gridCol w:w="1803"/>
        <w:gridCol w:w="900"/>
        <w:gridCol w:w="991"/>
        <w:gridCol w:w="1440"/>
        <w:gridCol w:w="810"/>
        <w:gridCol w:w="1081"/>
        <w:gridCol w:w="1649"/>
      </w:tblGrid>
      <w:tr>
        <w:tblPrEx>
          <w:tblW w:w="8674" w:type="dxa"/>
          <w:jc w:val="center"/>
          <w:tblBorders>
            <w:top w:val="single" w:sz="4" w:space="0" w:color="000000"/>
            <w:left w:val="nil"/>
            <w:bottom w:val="single" w:sz="4" w:space="0" w:color="000000"/>
            <w:right w:val="nil"/>
            <w:insideH w:val="nil"/>
            <w:insideV w:val="nil"/>
          </w:tblBorders>
          <w:tblLayout w:type="fixed"/>
          <w:tblLook w:val="0400"/>
        </w:tblPrEx>
        <w:trPr>
          <w:jc w:val="center"/>
        </w:trPr>
        <w:tc>
          <w:tcPr>
            <w:tcW w:w="1803" w:type="dxa"/>
            <w:vMerge w:val="restart"/>
            <w:tcBorders>
              <w:top w:val="single" w:sz="4" w:space="0" w:color="000000"/>
              <w:bottom w:val="nil"/>
            </w:tcBorders>
            <w:vAlign w:val="center"/>
          </w:tcPr>
          <w:p w:rsidR="00CA076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Variables  </w:t>
            </w:r>
          </w:p>
        </w:tc>
        <w:tc>
          <w:tcPr>
            <w:tcW w:w="3331" w:type="dxa"/>
            <w:gridSpan w:val="3"/>
            <w:tcBorders>
              <w:top w:val="single" w:sz="4" w:space="0" w:color="000000"/>
              <w:bottom w:val="single" w:sz="4" w:space="0" w:color="000000"/>
            </w:tcBorders>
          </w:tcPr>
          <w:p w:rsidR="00CA076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Intervention</w:t>
            </w:r>
          </w:p>
        </w:tc>
        <w:tc>
          <w:tcPr>
            <w:tcW w:w="3540" w:type="dxa"/>
            <w:gridSpan w:val="3"/>
            <w:tcBorders>
              <w:top w:val="single" w:sz="4" w:space="0" w:color="000000"/>
              <w:bottom w:val="single" w:sz="4" w:space="0" w:color="000000"/>
            </w:tcBorders>
          </w:tcPr>
          <w:p w:rsidR="00CA076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Control</w:t>
            </w:r>
          </w:p>
        </w:tc>
      </w:tr>
      <w:tr>
        <w:tblPrEx>
          <w:tblW w:w="8674" w:type="dxa"/>
          <w:jc w:val="center"/>
          <w:tblLayout w:type="fixed"/>
          <w:tblLook w:val="0400"/>
        </w:tblPrEx>
        <w:trPr>
          <w:jc w:val="center"/>
        </w:trPr>
        <w:tc>
          <w:tcPr>
            <w:tcW w:w="1803" w:type="dxa"/>
            <w:vMerge/>
            <w:tcBorders>
              <w:top w:val="single" w:sz="4" w:space="0" w:color="000000"/>
              <w:bottom w:val="nil"/>
            </w:tcBorders>
            <w:vAlign w:val="center"/>
          </w:tcPr>
          <w:p w:rsidR="00CA0767">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900" w:type="dxa"/>
            <w:tcBorders>
              <w:top w:val="single" w:sz="4" w:space="0" w:color="000000"/>
              <w:bottom w:val="single" w:sz="4" w:space="0" w:color="000000"/>
            </w:tcBorders>
          </w:tcPr>
          <w:p w:rsidR="00CA076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Mean</w:t>
            </w:r>
          </w:p>
        </w:tc>
        <w:tc>
          <w:tcPr>
            <w:tcW w:w="991" w:type="dxa"/>
            <w:tcBorders>
              <w:top w:val="single" w:sz="4" w:space="0" w:color="000000"/>
              <w:bottom w:val="single" w:sz="4" w:space="0" w:color="000000"/>
            </w:tcBorders>
          </w:tcPr>
          <w:p w:rsidR="00CA076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SD</w:t>
            </w:r>
          </w:p>
        </w:tc>
        <w:tc>
          <w:tcPr>
            <w:tcW w:w="1440" w:type="dxa"/>
            <w:tcBorders>
              <w:top w:val="single" w:sz="4" w:space="0" w:color="000000"/>
              <w:bottom w:val="single" w:sz="4" w:space="0" w:color="000000"/>
            </w:tcBorders>
          </w:tcPr>
          <w:p w:rsidR="00CA076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95% CI</w:t>
            </w:r>
          </w:p>
        </w:tc>
        <w:tc>
          <w:tcPr>
            <w:tcW w:w="810" w:type="dxa"/>
            <w:tcBorders>
              <w:top w:val="single" w:sz="4" w:space="0" w:color="000000"/>
              <w:bottom w:val="single" w:sz="4" w:space="0" w:color="000000"/>
            </w:tcBorders>
          </w:tcPr>
          <w:p w:rsidR="00CA076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Mean</w:t>
            </w:r>
          </w:p>
        </w:tc>
        <w:tc>
          <w:tcPr>
            <w:tcW w:w="1081" w:type="dxa"/>
            <w:tcBorders>
              <w:top w:val="single" w:sz="4" w:space="0" w:color="000000"/>
              <w:bottom w:val="single" w:sz="4" w:space="0" w:color="000000"/>
            </w:tcBorders>
          </w:tcPr>
          <w:p w:rsidR="00CA076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SD</w:t>
            </w:r>
          </w:p>
        </w:tc>
        <w:tc>
          <w:tcPr>
            <w:tcW w:w="1649" w:type="dxa"/>
            <w:tcBorders>
              <w:top w:val="single" w:sz="4" w:space="0" w:color="000000"/>
              <w:bottom w:val="single" w:sz="4" w:space="0" w:color="000000"/>
            </w:tcBorders>
          </w:tcPr>
          <w:p w:rsidR="00CA076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95% CI</w:t>
            </w:r>
          </w:p>
        </w:tc>
      </w:tr>
      <w:tr>
        <w:tblPrEx>
          <w:tblW w:w="8674" w:type="dxa"/>
          <w:jc w:val="center"/>
          <w:tblLayout w:type="fixed"/>
          <w:tblLook w:val="0400"/>
        </w:tblPrEx>
        <w:trPr>
          <w:jc w:val="center"/>
        </w:trPr>
        <w:tc>
          <w:tcPr>
            <w:tcW w:w="1803" w:type="dxa"/>
            <w:tcBorders>
              <w:top w:val="single" w:sz="4" w:space="0" w:color="000000"/>
              <w:bottom w:val="nil"/>
            </w:tcBorders>
          </w:tcPr>
          <w:p w:rsidR="00CA0767">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Knowledge </w:t>
            </w:r>
          </w:p>
          <w:p w:rsidR="00CA076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Before </w:t>
            </w:r>
          </w:p>
        </w:tc>
        <w:tc>
          <w:tcPr>
            <w:tcW w:w="900" w:type="dxa"/>
            <w:tcBorders>
              <w:top w:val="single" w:sz="4" w:space="0" w:color="000000"/>
              <w:bottom w:val="nil"/>
            </w:tcBorders>
          </w:tcPr>
          <w:p w:rsidR="00CA0767">
            <w:pPr>
              <w:jc w:val="center"/>
              <w:rPr>
                <w:rFonts w:ascii="Times New Roman" w:eastAsia="Times New Roman" w:hAnsi="Times New Roman" w:cs="Times New Roman"/>
                <w:sz w:val="20"/>
                <w:szCs w:val="20"/>
              </w:rPr>
            </w:pPr>
          </w:p>
          <w:p w:rsidR="00CA07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73.33</w:t>
            </w:r>
          </w:p>
        </w:tc>
        <w:tc>
          <w:tcPr>
            <w:tcW w:w="991" w:type="dxa"/>
            <w:tcBorders>
              <w:top w:val="single" w:sz="4" w:space="0" w:color="000000"/>
              <w:bottom w:val="nil"/>
            </w:tcBorders>
          </w:tcPr>
          <w:p w:rsidR="00CA0767">
            <w:pPr>
              <w:jc w:val="center"/>
              <w:rPr>
                <w:rFonts w:ascii="Times New Roman" w:eastAsia="Times New Roman" w:hAnsi="Times New Roman" w:cs="Times New Roman"/>
                <w:sz w:val="20"/>
                <w:szCs w:val="20"/>
              </w:rPr>
            </w:pPr>
          </w:p>
          <w:p w:rsidR="00CA07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10.466</w:t>
            </w:r>
          </w:p>
        </w:tc>
        <w:tc>
          <w:tcPr>
            <w:tcW w:w="1440" w:type="dxa"/>
            <w:tcBorders>
              <w:top w:val="single" w:sz="4" w:space="0" w:color="000000"/>
              <w:bottom w:val="nil"/>
            </w:tcBorders>
          </w:tcPr>
          <w:p w:rsidR="00CA0767">
            <w:pPr>
              <w:jc w:val="center"/>
              <w:rPr>
                <w:rFonts w:ascii="Times New Roman" w:eastAsia="Times New Roman" w:hAnsi="Times New Roman" w:cs="Times New Roman"/>
                <w:sz w:val="20"/>
                <w:szCs w:val="20"/>
              </w:rPr>
            </w:pPr>
          </w:p>
          <w:p w:rsidR="00CA07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69.62-77.04</w:t>
            </w:r>
          </w:p>
        </w:tc>
        <w:tc>
          <w:tcPr>
            <w:tcW w:w="810" w:type="dxa"/>
            <w:tcBorders>
              <w:top w:val="single" w:sz="4" w:space="0" w:color="000000"/>
              <w:bottom w:val="nil"/>
            </w:tcBorders>
          </w:tcPr>
          <w:p w:rsidR="00CA0767">
            <w:pPr>
              <w:jc w:val="center"/>
              <w:rPr>
                <w:rFonts w:ascii="Times New Roman" w:eastAsia="Times New Roman" w:hAnsi="Times New Roman" w:cs="Times New Roman"/>
                <w:sz w:val="20"/>
                <w:szCs w:val="20"/>
              </w:rPr>
            </w:pPr>
          </w:p>
          <w:p w:rsidR="00CA07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74.91</w:t>
            </w:r>
          </w:p>
        </w:tc>
        <w:tc>
          <w:tcPr>
            <w:tcW w:w="1081" w:type="dxa"/>
            <w:tcBorders>
              <w:top w:val="single" w:sz="4" w:space="0" w:color="000000"/>
              <w:bottom w:val="nil"/>
            </w:tcBorders>
          </w:tcPr>
          <w:p w:rsidR="00CA0767">
            <w:pPr>
              <w:jc w:val="center"/>
              <w:rPr>
                <w:rFonts w:ascii="Times New Roman" w:eastAsia="Times New Roman" w:hAnsi="Times New Roman" w:cs="Times New Roman"/>
                <w:sz w:val="20"/>
                <w:szCs w:val="20"/>
              </w:rPr>
            </w:pPr>
          </w:p>
          <w:p w:rsidR="00CA07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7.059</w:t>
            </w:r>
          </w:p>
        </w:tc>
        <w:tc>
          <w:tcPr>
            <w:tcW w:w="1649" w:type="dxa"/>
            <w:tcBorders>
              <w:top w:val="single" w:sz="4" w:space="0" w:color="000000"/>
              <w:bottom w:val="nil"/>
            </w:tcBorders>
          </w:tcPr>
          <w:p w:rsidR="00CA0767">
            <w:pPr>
              <w:jc w:val="center"/>
              <w:rPr>
                <w:rFonts w:ascii="Times New Roman" w:eastAsia="Times New Roman" w:hAnsi="Times New Roman" w:cs="Times New Roman"/>
                <w:sz w:val="20"/>
                <w:szCs w:val="20"/>
              </w:rPr>
            </w:pPr>
          </w:p>
          <w:p w:rsidR="00CA07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72.41 to 77.41</w:t>
            </w:r>
          </w:p>
        </w:tc>
      </w:tr>
      <w:tr>
        <w:tblPrEx>
          <w:tblW w:w="8674" w:type="dxa"/>
          <w:jc w:val="center"/>
          <w:tblLayout w:type="fixed"/>
          <w:tblLook w:val="0400"/>
        </w:tblPrEx>
        <w:trPr>
          <w:jc w:val="center"/>
        </w:trPr>
        <w:tc>
          <w:tcPr>
            <w:tcW w:w="1803" w:type="dxa"/>
            <w:tcBorders>
              <w:top w:val="nil"/>
              <w:bottom w:val="single" w:sz="4" w:space="0" w:color="000000"/>
            </w:tcBorders>
          </w:tcPr>
          <w:p w:rsidR="00CA076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After the </w:t>
            </w:r>
          </w:p>
        </w:tc>
        <w:tc>
          <w:tcPr>
            <w:tcW w:w="900" w:type="dxa"/>
            <w:tcBorders>
              <w:top w:val="nil"/>
              <w:bottom w:val="single" w:sz="4" w:space="0" w:color="000000"/>
            </w:tcBorders>
          </w:tcPr>
          <w:p w:rsidR="00CA07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6.556 80,46-85,115.259 75,32-79,05</w:t>
            </w:r>
          </w:p>
        </w:tc>
        <w:tc>
          <w:tcPr>
            <w:tcW w:w="991" w:type="dxa"/>
            <w:tcBorders>
              <w:top w:val="nil"/>
              <w:bottom w:val="single" w:sz="4" w:space="0" w:color="000000"/>
            </w:tcBorders>
          </w:tcPr>
          <w:p w:rsidR="00CA0767">
            <w:pPr>
              <w:jc w:val="center"/>
              <w:rPr>
                <w:rFonts w:ascii="Times New Roman" w:eastAsia="Times New Roman" w:hAnsi="Times New Roman" w:cs="Times New Roman"/>
                <w:sz w:val="20"/>
                <w:szCs w:val="20"/>
              </w:rPr>
            </w:pPr>
          </w:p>
        </w:tc>
        <w:tc>
          <w:tcPr>
            <w:tcW w:w="1440" w:type="dxa"/>
            <w:tcBorders>
              <w:top w:val="nil"/>
              <w:bottom w:val="single" w:sz="4" w:space="0" w:color="000000"/>
            </w:tcBorders>
          </w:tcPr>
          <w:p w:rsidR="00CA0767">
            <w:pPr>
              <w:jc w:val="center"/>
              <w:rPr>
                <w:rFonts w:ascii="Times New Roman" w:eastAsia="Times New Roman" w:hAnsi="Times New Roman" w:cs="Times New Roman"/>
                <w:sz w:val="20"/>
                <w:szCs w:val="20"/>
              </w:rPr>
            </w:pPr>
          </w:p>
        </w:tc>
        <w:tc>
          <w:tcPr>
            <w:tcW w:w="810" w:type="dxa"/>
            <w:tcBorders>
              <w:top w:val="nil"/>
              <w:bottom w:val="single" w:sz="4" w:space="0" w:color="000000"/>
            </w:tcBorders>
          </w:tcPr>
          <w:p w:rsidR="00CA07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77.18</w:t>
            </w:r>
          </w:p>
        </w:tc>
        <w:tc>
          <w:tcPr>
            <w:tcW w:w="1081" w:type="dxa"/>
            <w:tcBorders>
              <w:top w:val="nil"/>
              <w:bottom w:val="single" w:sz="4" w:space="0" w:color="000000"/>
            </w:tcBorders>
          </w:tcPr>
          <w:p w:rsidR="00CA0767">
            <w:pPr>
              <w:jc w:val="center"/>
              <w:rPr>
                <w:rFonts w:ascii="Times New Roman" w:eastAsia="Times New Roman" w:hAnsi="Times New Roman" w:cs="Times New Roman"/>
                <w:sz w:val="20"/>
                <w:szCs w:val="20"/>
              </w:rPr>
            </w:pPr>
          </w:p>
        </w:tc>
        <w:tc>
          <w:tcPr>
            <w:tcW w:w="1649" w:type="dxa"/>
            <w:tcBorders>
              <w:top w:val="nil"/>
              <w:bottom w:val="single" w:sz="4" w:space="0" w:color="000000"/>
            </w:tcBorders>
          </w:tcPr>
          <w:p w:rsidR="00CA07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82.79</w:t>
            </w:r>
          </w:p>
        </w:tc>
      </w:tr>
    </w:tbl>
    <w:p w:rsidR="00CA0767">
      <w:pPr>
        <w:pBdr>
          <w:top w:val="nil"/>
          <w:left w:val="nil"/>
          <w:bottom w:val="nil"/>
          <w:right w:val="nil"/>
          <w:between w:val="nil"/>
        </w:pBdr>
        <w:spacing w:after="0" w:line="360" w:lineRule="auto"/>
        <w:ind w:left="360"/>
        <w:jc w:val="center"/>
        <w:rPr>
          <w:rFonts w:ascii="Times New Roman" w:eastAsia="Times New Roman" w:hAnsi="Times New Roman" w:cs="Times New Roman"/>
          <w:color w:val="000000"/>
          <w:sz w:val="20"/>
          <w:szCs w:val="20"/>
        </w:rPr>
      </w:pPr>
    </w:p>
    <w:p w:rsidR="00CA0767">
      <w:pPr>
        <w:pBdr>
          <w:top w:val="nil"/>
          <w:left w:val="nil"/>
          <w:bottom w:val="nil"/>
          <w:right w:val="nil"/>
          <w:between w:val="nil"/>
        </w:pBdr>
        <w:spacing w:after="0" w:line="360" w:lineRule="auto"/>
        <w:ind w:left="3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Table 4.</w:t>
      </w:r>
      <w:r>
        <w:rPr>
          <w:rFonts w:ascii="Times New Roman" w:eastAsia="Times New Roman" w:hAnsi="Times New Roman" w:cs="Times New Roman"/>
          <w:color w:val="000000"/>
          <w:sz w:val="20"/>
          <w:szCs w:val="20"/>
        </w:rPr>
        <w:t xml:space="preserve"> Differences in knowledge about the health cadre of community-based early detection stunting in the intervention and control groups before and after intervention</w:t>
      </w:r>
    </w:p>
    <w:tbl>
      <w:tblPr>
        <w:tblStyle w:val="a2"/>
        <w:tblW w:w="7727" w:type="dxa"/>
        <w:jc w:val="center"/>
        <w:tblBorders>
          <w:top w:val="single" w:sz="4" w:space="0" w:color="000000"/>
          <w:left w:val="nil"/>
          <w:bottom w:val="single" w:sz="4" w:space="0" w:color="000000"/>
          <w:right w:val="nil"/>
          <w:insideH w:val="single" w:sz="4" w:space="0" w:color="000000"/>
          <w:insideV w:val="nil"/>
        </w:tblBorders>
        <w:tblLayout w:type="fixed"/>
        <w:tblLook w:val="0400"/>
      </w:tblPr>
      <w:tblGrid>
        <w:gridCol w:w="2430"/>
        <w:gridCol w:w="1170"/>
        <w:gridCol w:w="887"/>
        <w:gridCol w:w="1620"/>
        <w:gridCol w:w="1620"/>
      </w:tblGrid>
      <w:tr>
        <w:tblPrEx>
          <w:tblW w:w="7727" w:type="dxa"/>
          <w:jc w:val="center"/>
          <w:tblBorders>
            <w:top w:val="single" w:sz="4" w:space="0" w:color="000000"/>
            <w:left w:val="nil"/>
            <w:bottom w:val="single" w:sz="4" w:space="0" w:color="000000"/>
            <w:right w:val="nil"/>
            <w:insideH w:val="single" w:sz="4" w:space="0" w:color="000000"/>
            <w:insideV w:val="nil"/>
          </w:tblBorders>
          <w:tblLayout w:type="fixed"/>
          <w:tblLook w:val="0400"/>
        </w:tblPrEx>
        <w:trPr>
          <w:trHeight w:val="470"/>
          <w:jc w:val="center"/>
        </w:trPr>
        <w:tc>
          <w:tcPr>
            <w:tcW w:w="2430" w:type="dxa"/>
            <w:tcBorders>
              <w:bottom w:val="single" w:sz="4" w:space="0" w:color="000000"/>
            </w:tcBorders>
            <w:vAlign w:val="center"/>
          </w:tcPr>
          <w:p w:rsidR="00CA076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variable </w:t>
            </w:r>
          </w:p>
        </w:tc>
        <w:tc>
          <w:tcPr>
            <w:tcW w:w="1170" w:type="dxa"/>
            <w:tcBorders>
              <w:bottom w:val="single" w:sz="4" w:space="0" w:color="000000"/>
            </w:tcBorders>
            <w:vAlign w:val="center"/>
          </w:tcPr>
          <w:p w:rsidR="00CA076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Mean</w:t>
            </w:r>
          </w:p>
        </w:tc>
        <w:tc>
          <w:tcPr>
            <w:tcW w:w="887" w:type="dxa"/>
            <w:tcBorders>
              <w:bottom w:val="single" w:sz="4" w:space="0" w:color="000000"/>
            </w:tcBorders>
            <w:vAlign w:val="center"/>
          </w:tcPr>
          <w:p w:rsidR="00CA076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SD</w:t>
            </w:r>
          </w:p>
        </w:tc>
        <w:tc>
          <w:tcPr>
            <w:tcW w:w="1620" w:type="dxa"/>
            <w:tcBorders>
              <w:bottom w:val="single" w:sz="4" w:space="0" w:color="000000"/>
            </w:tcBorders>
            <w:vAlign w:val="center"/>
          </w:tcPr>
          <w:p w:rsidR="00CA076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MD</w:t>
            </w:r>
          </w:p>
        </w:tc>
        <w:tc>
          <w:tcPr>
            <w:tcW w:w="1620" w:type="dxa"/>
            <w:tcBorders>
              <w:bottom w:val="single" w:sz="4" w:space="0" w:color="000000"/>
            </w:tcBorders>
            <w:vAlign w:val="center"/>
          </w:tcPr>
          <w:p w:rsidR="00CA076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p-value</w:t>
            </w:r>
          </w:p>
        </w:tc>
      </w:tr>
      <w:tr>
        <w:tblPrEx>
          <w:tblW w:w="7727" w:type="dxa"/>
          <w:jc w:val="center"/>
          <w:tblLayout w:type="fixed"/>
          <w:tblLook w:val="0400"/>
        </w:tblPrEx>
        <w:trPr>
          <w:trHeight w:val="70"/>
          <w:jc w:val="center"/>
        </w:trPr>
        <w:tc>
          <w:tcPr>
            <w:tcW w:w="2430" w:type="dxa"/>
            <w:tcBorders>
              <w:top w:val="single" w:sz="4" w:space="0" w:color="000000"/>
              <w:bottom w:val="nil"/>
            </w:tcBorders>
          </w:tcPr>
          <w:p w:rsidR="00CA0767">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Knowledge </w:t>
            </w:r>
          </w:p>
          <w:p w:rsidR="00CA0767">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intervention </w:t>
            </w:r>
          </w:p>
          <w:p w:rsidR="00CA076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before </w:t>
            </w:r>
          </w:p>
          <w:p w:rsidR="00CA076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after </w:t>
            </w:r>
          </w:p>
        </w:tc>
        <w:tc>
          <w:tcPr>
            <w:tcW w:w="1170" w:type="dxa"/>
            <w:tcBorders>
              <w:top w:val="single" w:sz="4" w:space="0" w:color="000000"/>
              <w:bottom w:val="nil"/>
            </w:tcBorders>
          </w:tcPr>
          <w:p w:rsidR="00CA0767">
            <w:pPr>
              <w:jc w:val="center"/>
              <w:rPr>
                <w:rFonts w:ascii="Times New Roman" w:eastAsia="Times New Roman" w:hAnsi="Times New Roman" w:cs="Times New Roman"/>
                <w:sz w:val="20"/>
                <w:szCs w:val="20"/>
              </w:rPr>
            </w:pPr>
          </w:p>
          <w:p w:rsidR="00CA0767">
            <w:pPr>
              <w:jc w:val="center"/>
              <w:rPr>
                <w:rFonts w:ascii="Times New Roman" w:eastAsia="Times New Roman" w:hAnsi="Times New Roman" w:cs="Times New Roman"/>
                <w:sz w:val="20"/>
                <w:szCs w:val="20"/>
              </w:rPr>
            </w:pPr>
          </w:p>
          <w:p w:rsidR="00CA07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73.33</w:t>
            </w:r>
          </w:p>
          <w:p w:rsidR="00CA07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82.79</w:t>
            </w:r>
          </w:p>
        </w:tc>
        <w:tc>
          <w:tcPr>
            <w:tcW w:w="887" w:type="dxa"/>
            <w:tcBorders>
              <w:top w:val="single" w:sz="4" w:space="0" w:color="000000"/>
              <w:bottom w:val="nil"/>
            </w:tcBorders>
          </w:tcPr>
          <w:p w:rsidR="00CA0767">
            <w:pPr>
              <w:jc w:val="center"/>
              <w:rPr>
                <w:rFonts w:ascii="Times New Roman" w:eastAsia="Times New Roman" w:hAnsi="Times New Roman" w:cs="Times New Roman"/>
                <w:sz w:val="20"/>
                <w:szCs w:val="20"/>
              </w:rPr>
            </w:pPr>
          </w:p>
          <w:p w:rsidR="00CA0767">
            <w:pPr>
              <w:jc w:val="center"/>
              <w:rPr>
                <w:rFonts w:ascii="Times New Roman" w:eastAsia="Times New Roman" w:hAnsi="Times New Roman" w:cs="Times New Roman"/>
                <w:sz w:val="20"/>
                <w:szCs w:val="20"/>
              </w:rPr>
            </w:pPr>
          </w:p>
          <w:p w:rsidR="00CA07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10.466</w:t>
            </w:r>
          </w:p>
          <w:p w:rsidR="00CA07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6.556</w:t>
            </w:r>
          </w:p>
        </w:tc>
        <w:tc>
          <w:tcPr>
            <w:tcW w:w="1620" w:type="dxa"/>
            <w:tcBorders>
              <w:top w:val="single" w:sz="4" w:space="0" w:color="000000"/>
              <w:bottom w:val="nil"/>
            </w:tcBorders>
          </w:tcPr>
          <w:p w:rsidR="00CA0767">
            <w:pPr>
              <w:jc w:val="center"/>
              <w:rPr>
                <w:rFonts w:ascii="Times New Roman" w:eastAsia="Times New Roman" w:hAnsi="Times New Roman" w:cs="Times New Roman"/>
                <w:sz w:val="20"/>
                <w:szCs w:val="20"/>
              </w:rPr>
            </w:pPr>
          </w:p>
          <w:p w:rsidR="00CA0767">
            <w:pPr>
              <w:jc w:val="center"/>
              <w:rPr>
                <w:rFonts w:ascii="Times New Roman" w:eastAsia="Times New Roman" w:hAnsi="Times New Roman" w:cs="Times New Roman"/>
                <w:sz w:val="20"/>
                <w:szCs w:val="20"/>
              </w:rPr>
            </w:pPr>
          </w:p>
          <w:p w:rsidR="00CA07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9.46</w:t>
            </w:r>
          </w:p>
          <w:p w:rsidR="00CA0767">
            <w:pPr>
              <w:rPr>
                <w:rFonts w:ascii="Times New Roman" w:eastAsia="Times New Roman" w:hAnsi="Times New Roman" w:cs="Times New Roman"/>
                <w:sz w:val="20"/>
                <w:szCs w:val="20"/>
              </w:rPr>
            </w:pPr>
          </w:p>
        </w:tc>
        <w:tc>
          <w:tcPr>
            <w:tcW w:w="1620" w:type="dxa"/>
            <w:tcBorders>
              <w:top w:val="single" w:sz="4" w:space="0" w:color="000000"/>
              <w:bottom w:val="nil"/>
            </w:tcBorders>
          </w:tcPr>
          <w:p w:rsidR="00CA0767">
            <w:pPr>
              <w:jc w:val="center"/>
              <w:rPr>
                <w:rFonts w:ascii="Times New Roman" w:eastAsia="Times New Roman" w:hAnsi="Times New Roman" w:cs="Times New Roman"/>
                <w:sz w:val="20"/>
                <w:szCs w:val="20"/>
              </w:rPr>
            </w:pPr>
          </w:p>
          <w:p w:rsidR="00CA0767">
            <w:pPr>
              <w:jc w:val="center"/>
              <w:rPr>
                <w:rFonts w:ascii="Times New Roman" w:eastAsia="Times New Roman" w:hAnsi="Times New Roman" w:cs="Times New Roman"/>
                <w:sz w:val="20"/>
                <w:szCs w:val="20"/>
              </w:rPr>
            </w:pPr>
          </w:p>
          <w:p w:rsidR="00CA07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0.000</w:t>
            </w:r>
          </w:p>
          <w:p w:rsidR="00CA0767">
            <w:pPr>
              <w:rPr>
                <w:rFonts w:ascii="Times New Roman" w:eastAsia="Times New Roman" w:hAnsi="Times New Roman" w:cs="Times New Roman"/>
                <w:sz w:val="20"/>
                <w:szCs w:val="20"/>
              </w:rPr>
            </w:pPr>
          </w:p>
        </w:tc>
      </w:tr>
      <w:tr>
        <w:tblPrEx>
          <w:tblW w:w="7727" w:type="dxa"/>
          <w:jc w:val="center"/>
          <w:tblLayout w:type="fixed"/>
          <w:tblLook w:val="0400"/>
        </w:tblPrEx>
        <w:trPr>
          <w:trHeight w:val="70"/>
          <w:jc w:val="center"/>
        </w:trPr>
        <w:tc>
          <w:tcPr>
            <w:tcW w:w="2430" w:type="dxa"/>
            <w:tcBorders>
              <w:top w:val="nil"/>
            </w:tcBorders>
          </w:tcPr>
          <w:p w:rsidR="00CA0767">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control </w:t>
            </w:r>
          </w:p>
          <w:p w:rsidR="00CA076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before </w:t>
            </w:r>
          </w:p>
          <w:p w:rsidR="00CA076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after </w:t>
            </w:r>
          </w:p>
        </w:tc>
        <w:tc>
          <w:tcPr>
            <w:tcW w:w="1170" w:type="dxa"/>
            <w:tcBorders>
              <w:top w:val="nil"/>
            </w:tcBorders>
          </w:tcPr>
          <w:p w:rsidR="00CA0767">
            <w:pPr>
              <w:jc w:val="center"/>
              <w:rPr>
                <w:rFonts w:ascii="Times New Roman" w:eastAsia="Times New Roman" w:hAnsi="Times New Roman" w:cs="Times New Roman"/>
                <w:sz w:val="20"/>
                <w:szCs w:val="20"/>
              </w:rPr>
            </w:pPr>
          </w:p>
          <w:p w:rsidR="00CA07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74.91</w:t>
            </w:r>
          </w:p>
          <w:p w:rsidR="00CA07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77.18</w:t>
            </w:r>
          </w:p>
        </w:tc>
        <w:tc>
          <w:tcPr>
            <w:tcW w:w="887" w:type="dxa"/>
            <w:tcBorders>
              <w:top w:val="nil"/>
            </w:tcBorders>
          </w:tcPr>
          <w:p w:rsidR="00CA0767">
            <w:pPr>
              <w:jc w:val="center"/>
              <w:rPr>
                <w:rFonts w:ascii="Times New Roman" w:eastAsia="Times New Roman" w:hAnsi="Times New Roman" w:cs="Times New Roman"/>
                <w:sz w:val="20"/>
                <w:szCs w:val="20"/>
              </w:rPr>
            </w:pPr>
          </w:p>
          <w:p w:rsidR="00CA07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7.059</w:t>
            </w:r>
          </w:p>
          <w:p w:rsidR="00CA07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5.259</w:t>
            </w:r>
          </w:p>
        </w:tc>
        <w:tc>
          <w:tcPr>
            <w:tcW w:w="1620" w:type="dxa"/>
            <w:tcBorders>
              <w:top w:val="nil"/>
            </w:tcBorders>
          </w:tcPr>
          <w:p w:rsidR="00CA0767">
            <w:pPr>
              <w:jc w:val="center"/>
              <w:rPr>
                <w:rFonts w:ascii="Times New Roman" w:eastAsia="Times New Roman" w:hAnsi="Times New Roman" w:cs="Times New Roman"/>
                <w:sz w:val="20"/>
                <w:szCs w:val="20"/>
              </w:rPr>
            </w:pPr>
          </w:p>
          <w:p w:rsidR="00CA07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2.27</w:t>
            </w:r>
          </w:p>
        </w:tc>
        <w:tc>
          <w:tcPr>
            <w:tcW w:w="1620" w:type="dxa"/>
            <w:tcBorders>
              <w:top w:val="nil"/>
            </w:tcBorders>
          </w:tcPr>
          <w:p w:rsidR="00CA0767">
            <w:pPr>
              <w:jc w:val="center"/>
              <w:rPr>
                <w:rFonts w:ascii="Times New Roman" w:eastAsia="Times New Roman" w:hAnsi="Times New Roman" w:cs="Times New Roman"/>
                <w:sz w:val="20"/>
                <w:szCs w:val="20"/>
              </w:rPr>
            </w:pPr>
          </w:p>
          <w:p w:rsidR="00CA07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0.065</w:t>
            </w:r>
          </w:p>
        </w:tc>
      </w:tr>
    </w:tbl>
    <w:p w:rsidR="00CA0767">
      <w:pPr>
        <w:spacing w:after="0"/>
        <w:jc w:val="both"/>
        <w:rPr>
          <w:rFonts w:ascii="Times New Roman" w:eastAsia="Times New Roman" w:hAnsi="Times New Roman" w:cs="Times New Roman"/>
          <w:b/>
          <w:sz w:val="20"/>
          <w:szCs w:val="20"/>
        </w:rPr>
      </w:pPr>
    </w:p>
    <w:p w:rsidR="00CA0767">
      <w:pPr>
        <w:pBdr>
          <w:top w:val="nil"/>
          <w:left w:val="nil"/>
          <w:bottom w:val="nil"/>
          <w:right w:val="nil"/>
          <w:between w:val="nil"/>
        </w:pBdr>
        <w:spacing w:after="0" w:line="360" w:lineRule="auto"/>
        <w:ind w:left="3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Table 5.</w:t>
      </w:r>
      <w:r>
        <w:rPr>
          <w:rFonts w:ascii="Times New Roman" w:eastAsia="Times New Roman" w:hAnsi="Times New Roman" w:cs="Times New Roman"/>
          <w:color w:val="000000"/>
          <w:sz w:val="20"/>
          <w:szCs w:val="20"/>
        </w:rPr>
        <w:t xml:space="preserve"> Effect </w:t>
      </w:r>
      <w:r>
        <w:rPr>
          <w:rFonts w:ascii="Times New Roman" w:eastAsia="Times New Roman" w:hAnsi="Times New Roman" w:cs="Times New Roman"/>
          <w:i/>
          <w:color w:val="000000"/>
          <w:sz w:val="20"/>
          <w:szCs w:val="20"/>
        </w:rPr>
        <w:t>upskilling</w:t>
      </w:r>
      <w:r>
        <w:rPr>
          <w:rFonts w:ascii="Times New Roman" w:eastAsia="Times New Roman" w:hAnsi="Times New Roman" w:cs="Times New Roman"/>
          <w:color w:val="000000"/>
          <w:sz w:val="20"/>
          <w:szCs w:val="20"/>
        </w:rPr>
        <w:t xml:space="preserve"> health workers to the knowledge of community-based early detection stunting</w:t>
      </w:r>
    </w:p>
    <w:tbl>
      <w:tblPr>
        <w:tblStyle w:val="a3"/>
        <w:tblW w:w="6210" w:type="dxa"/>
        <w:jc w:val="center"/>
        <w:tblBorders>
          <w:top w:val="single" w:sz="4" w:space="0" w:color="000000"/>
          <w:left w:val="nil"/>
          <w:bottom w:val="single" w:sz="4" w:space="0" w:color="000000"/>
          <w:right w:val="nil"/>
          <w:insideH w:val="single" w:sz="4" w:space="0" w:color="000000"/>
          <w:insideV w:val="nil"/>
        </w:tblBorders>
        <w:tblLayout w:type="fixed"/>
        <w:tblLook w:val="0400"/>
      </w:tblPr>
      <w:tblGrid>
        <w:gridCol w:w="2160"/>
        <w:gridCol w:w="1440"/>
        <w:gridCol w:w="900"/>
        <w:gridCol w:w="1710"/>
      </w:tblGrid>
      <w:tr>
        <w:tblPrEx>
          <w:tblW w:w="6210" w:type="dxa"/>
          <w:jc w:val="center"/>
          <w:tblBorders>
            <w:top w:val="single" w:sz="4" w:space="0" w:color="000000"/>
            <w:left w:val="nil"/>
            <w:bottom w:val="single" w:sz="4" w:space="0" w:color="000000"/>
            <w:right w:val="nil"/>
            <w:insideH w:val="single" w:sz="4" w:space="0" w:color="000000"/>
            <w:insideV w:val="nil"/>
          </w:tblBorders>
          <w:tblLayout w:type="fixed"/>
          <w:tblLook w:val="0400"/>
        </w:tblPrEx>
        <w:trPr>
          <w:trHeight w:val="260"/>
          <w:jc w:val="center"/>
        </w:trPr>
        <w:tc>
          <w:tcPr>
            <w:tcW w:w="2160" w:type="dxa"/>
            <w:tcBorders>
              <w:bottom w:val="single" w:sz="4" w:space="0" w:color="000000"/>
            </w:tcBorders>
          </w:tcPr>
          <w:p w:rsidR="00CA076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variable </w:t>
            </w:r>
          </w:p>
        </w:tc>
        <w:tc>
          <w:tcPr>
            <w:tcW w:w="1440" w:type="dxa"/>
            <w:tcBorders>
              <w:bottom w:val="single" w:sz="4" w:space="0" w:color="000000"/>
            </w:tcBorders>
          </w:tcPr>
          <w:p w:rsidR="00CA076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Mean</w:t>
            </w:r>
          </w:p>
        </w:tc>
        <w:tc>
          <w:tcPr>
            <w:tcW w:w="900" w:type="dxa"/>
            <w:tcBorders>
              <w:bottom w:val="single" w:sz="4" w:space="0" w:color="000000"/>
            </w:tcBorders>
          </w:tcPr>
          <w:p w:rsidR="00CA076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SD</w:t>
            </w:r>
          </w:p>
        </w:tc>
        <w:tc>
          <w:tcPr>
            <w:tcW w:w="1710" w:type="dxa"/>
            <w:tcBorders>
              <w:bottom w:val="single" w:sz="4" w:space="0" w:color="000000"/>
            </w:tcBorders>
          </w:tcPr>
          <w:p w:rsidR="00CA076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p-value</w:t>
            </w:r>
          </w:p>
        </w:tc>
      </w:tr>
      <w:tr>
        <w:tblPrEx>
          <w:tblW w:w="6210" w:type="dxa"/>
          <w:jc w:val="center"/>
          <w:tblLayout w:type="fixed"/>
          <w:tblLook w:val="0400"/>
        </w:tblPrEx>
        <w:trPr>
          <w:trHeight w:val="70"/>
          <w:jc w:val="center"/>
        </w:trPr>
        <w:tc>
          <w:tcPr>
            <w:tcW w:w="2160" w:type="dxa"/>
            <w:tcBorders>
              <w:top w:val="single" w:sz="4" w:space="0" w:color="000000"/>
              <w:bottom w:val="nil"/>
            </w:tcBorders>
          </w:tcPr>
          <w:p w:rsidR="00CA0767">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knowledge </w:t>
            </w:r>
          </w:p>
          <w:p w:rsidR="00CA076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Intervention</w:t>
            </w:r>
          </w:p>
        </w:tc>
        <w:tc>
          <w:tcPr>
            <w:tcW w:w="1440" w:type="dxa"/>
            <w:tcBorders>
              <w:top w:val="single" w:sz="4" w:space="0" w:color="000000"/>
              <w:bottom w:val="nil"/>
            </w:tcBorders>
          </w:tcPr>
          <w:p w:rsidR="00CA0767">
            <w:pPr>
              <w:jc w:val="center"/>
              <w:rPr>
                <w:rFonts w:ascii="Times New Roman" w:eastAsia="Times New Roman" w:hAnsi="Times New Roman" w:cs="Times New Roman"/>
                <w:sz w:val="20"/>
                <w:szCs w:val="20"/>
              </w:rPr>
            </w:pPr>
          </w:p>
          <w:p w:rsidR="00CA07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82.79</w:t>
            </w:r>
          </w:p>
        </w:tc>
        <w:tc>
          <w:tcPr>
            <w:tcW w:w="900" w:type="dxa"/>
            <w:tcBorders>
              <w:top w:val="single" w:sz="4" w:space="0" w:color="000000"/>
              <w:bottom w:val="nil"/>
            </w:tcBorders>
          </w:tcPr>
          <w:p w:rsidR="00CA0767">
            <w:pPr>
              <w:jc w:val="center"/>
              <w:rPr>
                <w:rFonts w:ascii="Times New Roman" w:eastAsia="Times New Roman" w:hAnsi="Times New Roman" w:cs="Times New Roman"/>
                <w:sz w:val="20"/>
                <w:szCs w:val="20"/>
              </w:rPr>
            </w:pPr>
          </w:p>
          <w:p w:rsidR="00CA07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6.556</w:t>
            </w:r>
          </w:p>
        </w:tc>
        <w:tc>
          <w:tcPr>
            <w:tcW w:w="1710" w:type="dxa"/>
            <w:tcBorders>
              <w:top w:val="single" w:sz="4" w:space="0" w:color="000000"/>
              <w:bottom w:val="nil"/>
            </w:tcBorders>
          </w:tcPr>
          <w:p w:rsidR="00CA0767">
            <w:pPr>
              <w:jc w:val="center"/>
              <w:rPr>
                <w:rFonts w:ascii="Times New Roman" w:eastAsia="Times New Roman" w:hAnsi="Times New Roman" w:cs="Times New Roman"/>
                <w:sz w:val="20"/>
                <w:szCs w:val="20"/>
              </w:rPr>
            </w:pPr>
          </w:p>
          <w:p w:rsidR="00CA07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0.001</w:t>
            </w:r>
          </w:p>
        </w:tc>
      </w:tr>
      <w:tr>
        <w:tblPrEx>
          <w:tblW w:w="6210" w:type="dxa"/>
          <w:jc w:val="center"/>
          <w:tblLayout w:type="fixed"/>
          <w:tblLook w:val="0400"/>
        </w:tblPrEx>
        <w:trPr>
          <w:trHeight w:val="70"/>
          <w:jc w:val="center"/>
        </w:trPr>
        <w:tc>
          <w:tcPr>
            <w:tcW w:w="2160" w:type="dxa"/>
            <w:tcBorders>
              <w:top w:val="nil"/>
              <w:bottom w:val="nil"/>
            </w:tcBorders>
          </w:tcPr>
          <w:p w:rsidR="00CA076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Control</w:t>
            </w:r>
          </w:p>
        </w:tc>
        <w:tc>
          <w:tcPr>
            <w:tcW w:w="1440" w:type="dxa"/>
            <w:tcBorders>
              <w:top w:val="nil"/>
              <w:bottom w:val="nil"/>
            </w:tcBorders>
          </w:tcPr>
          <w:p w:rsidR="00CA07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77.18</w:t>
            </w:r>
          </w:p>
        </w:tc>
        <w:tc>
          <w:tcPr>
            <w:tcW w:w="900" w:type="dxa"/>
            <w:tcBorders>
              <w:top w:val="nil"/>
              <w:bottom w:val="nil"/>
            </w:tcBorders>
          </w:tcPr>
          <w:p w:rsidR="00CA07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5.259</w:t>
            </w:r>
          </w:p>
        </w:tc>
        <w:tc>
          <w:tcPr>
            <w:tcW w:w="1710" w:type="dxa"/>
            <w:tcBorders>
              <w:top w:val="nil"/>
              <w:bottom w:val="nil"/>
            </w:tcBorders>
          </w:tcPr>
          <w:p w:rsidR="00CA0767">
            <w:pPr>
              <w:jc w:val="center"/>
              <w:rPr>
                <w:rFonts w:ascii="Times New Roman" w:eastAsia="Times New Roman" w:hAnsi="Times New Roman" w:cs="Times New Roman"/>
                <w:sz w:val="20"/>
                <w:szCs w:val="20"/>
              </w:rPr>
            </w:pPr>
          </w:p>
        </w:tc>
      </w:tr>
      <w:tr>
        <w:tblPrEx>
          <w:tblW w:w="6210" w:type="dxa"/>
          <w:jc w:val="center"/>
          <w:tblLayout w:type="fixed"/>
          <w:tblLook w:val="0400"/>
        </w:tblPrEx>
        <w:trPr>
          <w:trHeight w:val="70"/>
          <w:jc w:val="center"/>
        </w:trPr>
        <w:tc>
          <w:tcPr>
            <w:tcW w:w="2160" w:type="dxa"/>
            <w:tcBorders>
              <w:top w:val="nil"/>
            </w:tcBorders>
          </w:tcPr>
          <w:p w:rsidR="00CA076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Difference </w:t>
            </w:r>
          </w:p>
        </w:tc>
        <w:tc>
          <w:tcPr>
            <w:tcW w:w="1440" w:type="dxa"/>
            <w:tcBorders>
              <w:top w:val="nil"/>
            </w:tcBorders>
          </w:tcPr>
          <w:p w:rsidR="00CA07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5,606</w:t>
            </w:r>
          </w:p>
        </w:tc>
        <w:tc>
          <w:tcPr>
            <w:tcW w:w="900" w:type="dxa"/>
            <w:tcBorders>
              <w:top w:val="nil"/>
            </w:tcBorders>
          </w:tcPr>
          <w:p w:rsidR="00CA0767">
            <w:pPr>
              <w:jc w:val="center"/>
              <w:rPr>
                <w:rFonts w:ascii="Times New Roman" w:eastAsia="Times New Roman" w:hAnsi="Times New Roman" w:cs="Times New Roman"/>
                <w:sz w:val="20"/>
                <w:szCs w:val="20"/>
              </w:rPr>
            </w:pPr>
          </w:p>
        </w:tc>
        <w:tc>
          <w:tcPr>
            <w:tcW w:w="1710" w:type="dxa"/>
            <w:tcBorders>
              <w:top w:val="nil"/>
            </w:tcBorders>
          </w:tcPr>
          <w:p w:rsidR="00CA0767">
            <w:pPr>
              <w:jc w:val="center"/>
              <w:rPr>
                <w:rFonts w:ascii="Times New Roman" w:eastAsia="Times New Roman" w:hAnsi="Times New Roman" w:cs="Times New Roman"/>
                <w:sz w:val="20"/>
                <w:szCs w:val="20"/>
              </w:rPr>
            </w:pPr>
          </w:p>
        </w:tc>
      </w:tr>
    </w:tbl>
    <w:p w:rsidR="00CA076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0"/>
          <w:szCs w:val="20"/>
        </w:rPr>
        <w:sectPr>
          <w:type w:val="continuous"/>
          <w:pgSz w:w="11906" w:h="16838"/>
          <w:pgMar w:top="1701" w:right="1416" w:bottom="1701" w:left="1418" w:header="709" w:footer="709" w:gutter="0"/>
          <w:cols w:space="720"/>
        </w:sectPr>
      </w:pPr>
    </w:p>
    <w:p w:rsidR="00CA076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0"/>
          <w:szCs w:val="20"/>
        </w:rPr>
      </w:pPr>
      <w:r>
        <w:br w:type="page"/>
      </w:r>
    </w:p>
    <w:p w:rsidR="00CA076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Around health</w:t>
      </w:r>
      <w:r>
        <w:rPr>
          <w:rFonts w:ascii="Times New Roman" w:eastAsia="Times New Roman" w:hAnsi="Times New Roman" w:cs="Times New Roman"/>
          <w:color w:val="000000"/>
          <w:sz w:val="20"/>
          <w:szCs w:val="20"/>
        </w:rPr>
        <w:t xml:space="preserve"> workers, including in the older age groups.</w:t>
      </w:r>
      <w:r>
        <w:rPr>
          <w:rFonts w:ascii="Times New Roman" w:eastAsia="Times New Roman" w:hAnsi="Times New Roman" w:cs="Times New Roman"/>
          <w:color w:val="000000"/>
          <w:sz w:val="20"/>
          <w:szCs w:val="20"/>
        </w:rPr>
        <w:t xml:space="preserve"> The results of this study are by (</w:t>
      </w:r>
      <w:r>
        <w:rPr>
          <w:rFonts w:ascii="Times New Roman" w:eastAsia="Times New Roman" w:hAnsi="Times New Roman" w:cs="Times New Roman"/>
          <w:color w:val="000000"/>
          <w:sz w:val="20"/>
          <w:szCs w:val="20"/>
        </w:rPr>
        <w:t>Adistie</w:t>
      </w:r>
      <w:r>
        <w:rPr>
          <w:rFonts w:ascii="Times New Roman" w:eastAsia="Times New Roman" w:hAnsi="Times New Roman" w:cs="Times New Roman"/>
          <w:color w:val="000000"/>
          <w:sz w:val="20"/>
          <w:szCs w:val="20"/>
        </w:rPr>
        <w:t xml:space="preserve"> et al., 2017); (</w:t>
      </w:r>
      <w:r>
        <w:rPr>
          <w:rFonts w:ascii="Times New Roman" w:eastAsia="Times New Roman" w:hAnsi="Times New Roman" w:cs="Times New Roman"/>
          <w:color w:val="000000"/>
          <w:sz w:val="20"/>
          <w:szCs w:val="20"/>
        </w:rPr>
        <w:t>Handayani</w:t>
      </w:r>
      <w:r>
        <w:rPr>
          <w:rFonts w:ascii="Times New Roman" w:eastAsia="Times New Roman" w:hAnsi="Times New Roman" w:cs="Times New Roman"/>
          <w:color w:val="000000"/>
          <w:sz w:val="20"/>
          <w:szCs w:val="20"/>
        </w:rPr>
        <w:t xml:space="preserve"> et al., 2019); (Martha et al., 2020); (</w:t>
      </w:r>
      <w:r>
        <w:rPr>
          <w:rFonts w:ascii="Times New Roman" w:eastAsia="Times New Roman" w:hAnsi="Times New Roman" w:cs="Times New Roman"/>
          <w:color w:val="000000"/>
          <w:sz w:val="20"/>
          <w:szCs w:val="20"/>
        </w:rPr>
        <w:t>Purnamasari</w:t>
      </w:r>
      <w:r>
        <w:rPr>
          <w:rFonts w:ascii="Times New Roman" w:eastAsia="Times New Roman" w:hAnsi="Times New Roman" w:cs="Times New Roman"/>
          <w:color w:val="000000"/>
          <w:sz w:val="20"/>
          <w:szCs w:val="20"/>
        </w:rPr>
        <w:t xml:space="preserve"> et al., 2020); (</w:t>
      </w:r>
      <w:r>
        <w:rPr>
          <w:rFonts w:ascii="Times New Roman" w:eastAsia="Times New Roman" w:hAnsi="Times New Roman" w:cs="Times New Roman"/>
          <w:color w:val="000000"/>
          <w:sz w:val="20"/>
          <w:szCs w:val="20"/>
        </w:rPr>
        <w:t>Arsy</w:t>
      </w:r>
      <w:r>
        <w:rPr>
          <w:rFonts w:ascii="Times New Roman" w:eastAsia="Times New Roman" w:hAnsi="Times New Roman" w:cs="Times New Roman"/>
          <w:color w:val="000000"/>
          <w:sz w:val="20"/>
          <w:szCs w:val="20"/>
        </w:rPr>
        <w:t xml:space="preserve">, 2021) which states that all health cadres </w:t>
      </w:r>
      <w:r>
        <w:rPr>
          <w:rFonts w:ascii="Times New Roman" w:eastAsia="Times New Roman" w:hAnsi="Times New Roman" w:cs="Times New Roman"/>
          <w:color w:val="000000"/>
          <w:sz w:val="20"/>
          <w:szCs w:val="20"/>
        </w:rPr>
        <w:t>are included in the adult age group. Age affects the formation of the mindset of health cadres. As age increases, the knowledge of health cadres also develops. Health cadres who are more mature will find it easier to gain trust from the community becau</w:t>
      </w:r>
      <w:r>
        <w:rPr>
          <w:rFonts w:ascii="Times New Roman" w:eastAsia="Times New Roman" w:hAnsi="Times New Roman" w:cs="Times New Roman"/>
          <w:color w:val="000000"/>
          <w:sz w:val="20"/>
          <w:szCs w:val="20"/>
        </w:rPr>
        <w:t>se they have a longer life experience than the younger age groups.</w:t>
      </w:r>
    </w:p>
    <w:p w:rsidR="00CA076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Most of the health cadres have a high school education background. The results of this study are by (</w:t>
      </w:r>
      <w:r>
        <w:rPr>
          <w:rFonts w:ascii="Times New Roman" w:eastAsia="Times New Roman" w:hAnsi="Times New Roman" w:cs="Times New Roman"/>
          <w:color w:val="000000"/>
          <w:sz w:val="20"/>
          <w:szCs w:val="20"/>
        </w:rPr>
        <w:t>Adistie</w:t>
      </w:r>
      <w:r>
        <w:rPr>
          <w:rFonts w:ascii="Times New Roman" w:eastAsia="Times New Roman" w:hAnsi="Times New Roman" w:cs="Times New Roman"/>
          <w:color w:val="000000"/>
          <w:sz w:val="20"/>
          <w:szCs w:val="20"/>
        </w:rPr>
        <w:t xml:space="preserve"> et al., 2018); (</w:t>
      </w:r>
      <w:r>
        <w:rPr>
          <w:rFonts w:ascii="Times New Roman" w:eastAsia="Times New Roman" w:hAnsi="Times New Roman" w:cs="Times New Roman"/>
          <w:color w:val="000000"/>
          <w:sz w:val="20"/>
          <w:szCs w:val="20"/>
        </w:rPr>
        <w:t>Handayani</w:t>
      </w:r>
      <w:r>
        <w:rPr>
          <w:rFonts w:ascii="Times New Roman" w:eastAsia="Times New Roman" w:hAnsi="Times New Roman" w:cs="Times New Roman"/>
          <w:color w:val="000000"/>
          <w:sz w:val="20"/>
          <w:szCs w:val="20"/>
        </w:rPr>
        <w:t xml:space="preserve"> et al., 2019); (Martha et al., 2020); </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Purnamasari</w:t>
      </w:r>
      <w:r>
        <w:rPr>
          <w:rFonts w:ascii="Times New Roman" w:eastAsia="Times New Roman" w:hAnsi="Times New Roman" w:cs="Times New Roman"/>
          <w:color w:val="000000"/>
          <w:sz w:val="20"/>
          <w:szCs w:val="20"/>
        </w:rPr>
        <w:t xml:space="preserve"> et al., 2020); (</w:t>
      </w:r>
      <w:r>
        <w:rPr>
          <w:rFonts w:ascii="Times New Roman" w:eastAsia="Times New Roman" w:hAnsi="Times New Roman" w:cs="Times New Roman"/>
          <w:color w:val="000000"/>
          <w:sz w:val="20"/>
          <w:szCs w:val="20"/>
        </w:rPr>
        <w:t>Arsy</w:t>
      </w:r>
      <w:r>
        <w:rPr>
          <w:rFonts w:ascii="Times New Roman" w:eastAsia="Times New Roman" w:hAnsi="Times New Roman" w:cs="Times New Roman"/>
          <w:color w:val="000000"/>
          <w:sz w:val="20"/>
          <w:szCs w:val="20"/>
        </w:rPr>
        <w:t>, 2021), explained that the majority of health cadres have a high school education background. The educational background of health cadres affects their ability to receive and internalize all learning information provided b</w:t>
      </w:r>
      <w:r>
        <w:rPr>
          <w:rFonts w:ascii="Times New Roman" w:eastAsia="Times New Roman" w:hAnsi="Times New Roman" w:cs="Times New Roman"/>
          <w:color w:val="000000"/>
          <w:sz w:val="20"/>
          <w:szCs w:val="20"/>
        </w:rPr>
        <w:t xml:space="preserve">y health workers. Health cadres who have a higher educational background are considered to be more capable of carrying out their roles and functions in the early detection of stunting in their respective regions. Health cadres with low educational backgrounds </w:t>
      </w:r>
      <w:r>
        <w:rPr>
          <w:rFonts w:ascii="Times New Roman" w:eastAsia="Times New Roman" w:hAnsi="Times New Roman" w:cs="Times New Roman"/>
          <w:color w:val="000000"/>
          <w:sz w:val="20"/>
          <w:szCs w:val="20"/>
        </w:rPr>
        <w:t xml:space="preserve">will find it more difficult to receive information and directions from health workers about community-based stunting early detection, so they do not believe in the importance of stunting early detection in the community. </w:t>
      </w:r>
    </w:p>
    <w:p w:rsidR="00CA076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data shows that the </w:t>
      </w:r>
      <w:r>
        <w:rPr>
          <w:rFonts w:ascii="Times New Roman" w:eastAsia="Times New Roman" w:hAnsi="Times New Roman" w:cs="Times New Roman"/>
          <w:color w:val="000000"/>
          <w:sz w:val="20"/>
          <w:szCs w:val="20"/>
        </w:rPr>
        <w:t>majority o</w:t>
      </w:r>
      <w:r>
        <w:rPr>
          <w:rFonts w:ascii="Times New Roman" w:eastAsia="Times New Roman" w:hAnsi="Times New Roman" w:cs="Times New Roman"/>
          <w:color w:val="000000"/>
          <w:sz w:val="20"/>
          <w:szCs w:val="20"/>
        </w:rPr>
        <w:t>f health cadres play</w:t>
      </w:r>
      <w:r>
        <w:rPr>
          <w:rFonts w:ascii="Times New Roman" w:eastAsia="Times New Roman" w:hAnsi="Times New Roman" w:cs="Times New Roman"/>
          <w:color w:val="000000"/>
          <w:sz w:val="20"/>
          <w:szCs w:val="20"/>
        </w:rPr>
        <w:t xml:space="preserve"> or work as housewives. The results of this study are in accordance with research (</w:t>
      </w:r>
      <w:r>
        <w:rPr>
          <w:rFonts w:ascii="Times New Roman" w:eastAsia="Times New Roman" w:hAnsi="Times New Roman" w:cs="Times New Roman"/>
          <w:color w:val="000000"/>
          <w:sz w:val="20"/>
          <w:szCs w:val="20"/>
        </w:rPr>
        <w:t>Handayani</w:t>
      </w:r>
      <w:r>
        <w:rPr>
          <w:rFonts w:ascii="Times New Roman" w:eastAsia="Times New Roman" w:hAnsi="Times New Roman" w:cs="Times New Roman"/>
          <w:color w:val="000000"/>
          <w:sz w:val="20"/>
          <w:szCs w:val="20"/>
        </w:rPr>
        <w:t xml:space="preserve"> et al., 2019); (</w:t>
      </w:r>
      <w:r>
        <w:rPr>
          <w:rFonts w:ascii="Times New Roman" w:eastAsia="Times New Roman" w:hAnsi="Times New Roman" w:cs="Times New Roman"/>
          <w:color w:val="000000"/>
          <w:sz w:val="20"/>
          <w:szCs w:val="20"/>
        </w:rPr>
        <w:t>Purnamasari</w:t>
      </w:r>
      <w:r>
        <w:rPr>
          <w:rFonts w:ascii="Times New Roman" w:eastAsia="Times New Roman" w:hAnsi="Times New Roman" w:cs="Times New Roman"/>
          <w:color w:val="000000"/>
          <w:sz w:val="20"/>
          <w:szCs w:val="20"/>
        </w:rPr>
        <w:t xml:space="preserve"> et al., 2020); (</w:t>
      </w:r>
      <w:r>
        <w:rPr>
          <w:rFonts w:ascii="Times New Roman" w:eastAsia="Times New Roman" w:hAnsi="Times New Roman" w:cs="Times New Roman"/>
          <w:color w:val="000000"/>
          <w:sz w:val="20"/>
          <w:szCs w:val="20"/>
        </w:rPr>
        <w:t>Arsy</w:t>
      </w:r>
      <w:r>
        <w:rPr>
          <w:rFonts w:ascii="Times New Roman" w:eastAsia="Times New Roman" w:hAnsi="Times New Roman" w:cs="Times New Roman"/>
          <w:color w:val="000000"/>
          <w:sz w:val="20"/>
          <w:szCs w:val="20"/>
        </w:rPr>
        <w:t>, 2021). Health cadres are better able to manage their time between taking care of their family</w:t>
      </w:r>
      <w:r>
        <w:rPr>
          <w:rFonts w:ascii="Times New Roman" w:eastAsia="Times New Roman" w:hAnsi="Times New Roman" w:cs="Times New Roman"/>
          <w:color w:val="000000"/>
          <w:sz w:val="20"/>
          <w:szCs w:val="20"/>
        </w:rPr>
        <w:t xml:space="preserve"> and society because the type of work they do is more flexible and dynamic. So that health cadres have more time to </w:t>
      </w:r>
      <w:r>
        <w:rPr>
          <w:rFonts w:ascii="Times New Roman" w:eastAsia="Times New Roman" w:hAnsi="Times New Roman" w:cs="Times New Roman"/>
          <w:color w:val="000000"/>
          <w:sz w:val="20"/>
          <w:szCs w:val="20"/>
        </w:rPr>
        <w:t xml:space="preserve">actively participate in solving health problems in the community. The average health </w:t>
      </w:r>
      <w:r>
        <w:rPr>
          <w:rFonts w:ascii="Times New Roman" w:eastAsia="Times New Roman" w:hAnsi="Times New Roman" w:cs="Times New Roman"/>
          <w:color w:val="000000"/>
          <w:sz w:val="20"/>
          <w:szCs w:val="20"/>
        </w:rPr>
        <w:t>cadre</w:t>
      </w:r>
      <w:r>
        <w:rPr>
          <w:rFonts w:ascii="Times New Roman" w:eastAsia="Times New Roman" w:hAnsi="Times New Roman" w:cs="Times New Roman"/>
          <w:color w:val="000000"/>
          <w:sz w:val="20"/>
          <w:szCs w:val="20"/>
        </w:rPr>
        <w:t xml:space="preserve"> has more than five years of experience as a healt</w:t>
      </w:r>
      <w:r>
        <w:rPr>
          <w:rFonts w:ascii="Times New Roman" w:eastAsia="Times New Roman" w:hAnsi="Times New Roman" w:cs="Times New Roman"/>
          <w:color w:val="000000"/>
          <w:sz w:val="20"/>
          <w:szCs w:val="20"/>
        </w:rPr>
        <w:t xml:space="preserve">h </w:t>
      </w:r>
      <w:r>
        <w:rPr>
          <w:rFonts w:ascii="Times New Roman" w:eastAsia="Times New Roman" w:hAnsi="Times New Roman" w:cs="Times New Roman"/>
          <w:color w:val="000000"/>
          <w:sz w:val="20"/>
          <w:szCs w:val="20"/>
        </w:rPr>
        <w:t>cadre</w:t>
      </w:r>
      <w:r>
        <w:rPr>
          <w:rFonts w:ascii="Times New Roman" w:eastAsia="Times New Roman" w:hAnsi="Times New Roman" w:cs="Times New Roman"/>
          <w:color w:val="000000"/>
          <w:sz w:val="20"/>
          <w:szCs w:val="20"/>
        </w:rPr>
        <w:t>. This is following (</w:t>
      </w:r>
      <w:r>
        <w:rPr>
          <w:rFonts w:ascii="Times New Roman" w:eastAsia="Times New Roman" w:hAnsi="Times New Roman" w:cs="Times New Roman"/>
          <w:color w:val="000000"/>
          <w:sz w:val="20"/>
          <w:szCs w:val="20"/>
        </w:rPr>
        <w:t>Adistie</w:t>
      </w:r>
      <w:r>
        <w:rPr>
          <w:rFonts w:ascii="Times New Roman" w:eastAsia="Times New Roman" w:hAnsi="Times New Roman" w:cs="Times New Roman"/>
          <w:color w:val="000000"/>
          <w:sz w:val="20"/>
          <w:szCs w:val="20"/>
        </w:rPr>
        <w:t xml:space="preserve"> et al., 2017); (</w:t>
      </w:r>
      <w:r>
        <w:rPr>
          <w:rFonts w:ascii="Times New Roman" w:eastAsia="Times New Roman" w:hAnsi="Times New Roman" w:cs="Times New Roman"/>
          <w:color w:val="000000"/>
          <w:sz w:val="20"/>
          <w:szCs w:val="20"/>
        </w:rPr>
        <w:t>Handayani</w:t>
      </w:r>
      <w:r>
        <w:rPr>
          <w:rFonts w:ascii="Times New Roman" w:eastAsia="Times New Roman" w:hAnsi="Times New Roman" w:cs="Times New Roman"/>
          <w:color w:val="000000"/>
          <w:sz w:val="20"/>
          <w:szCs w:val="20"/>
        </w:rPr>
        <w:t xml:space="preserve"> et al., 2019); (</w:t>
      </w:r>
      <w:r>
        <w:rPr>
          <w:rFonts w:ascii="Times New Roman" w:eastAsia="Times New Roman" w:hAnsi="Times New Roman" w:cs="Times New Roman"/>
          <w:color w:val="000000"/>
          <w:sz w:val="20"/>
          <w:szCs w:val="20"/>
        </w:rPr>
        <w:t>Purnamasari</w:t>
      </w:r>
      <w:r>
        <w:rPr>
          <w:rFonts w:ascii="Times New Roman" w:eastAsia="Times New Roman" w:hAnsi="Times New Roman" w:cs="Times New Roman"/>
          <w:color w:val="000000"/>
          <w:sz w:val="20"/>
          <w:szCs w:val="20"/>
        </w:rPr>
        <w:t xml:space="preserve"> et al., 2020); (</w:t>
      </w:r>
      <w:r>
        <w:rPr>
          <w:rFonts w:ascii="Times New Roman" w:eastAsia="Times New Roman" w:hAnsi="Times New Roman" w:cs="Times New Roman"/>
          <w:color w:val="000000"/>
          <w:sz w:val="20"/>
          <w:szCs w:val="20"/>
        </w:rPr>
        <w:t>Arsy</w:t>
      </w:r>
      <w:r>
        <w:rPr>
          <w:rFonts w:ascii="Times New Roman" w:eastAsia="Times New Roman" w:hAnsi="Times New Roman" w:cs="Times New Roman"/>
          <w:color w:val="000000"/>
          <w:sz w:val="20"/>
          <w:szCs w:val="20"/>
        </w:rPr>
        <w:t xml:space="preserve">, 2021), stated that health cadres have five to ten years of experience as health cadres. The desire to become a health </w:t>
      </w:r>
      <w:r>
        <w:rPr>
          <w:rFonts w:ascii="Times New Roman" w:eastAsia="Times New Roman" w:hAnsi="Times New Roman" w:cs="Times New Roman"/>
          <w:color w:val="000000"/>
          <w:sz w:val="20"/>
          <w:szCs w:val="20"/>
        </w:rPr>
        <w:t>cadre</w:t>
      </w:r>
      <w:r>
        <w:rPr>
          <w:rFonts w:ascii="Times New Roman" w:eastAsia="Times New Roman" w:hAnsi="Times New Roman" w:cs="Times New Roman"/>
          <w:color w:val="000000"/>
          <w:sz w:val="20"/>
          <w:szCs w:val="20"/>
        </w:rPr>
        <w:t xml:space="preserve"> does not ap</w:t>
      </w:r>
      <w:r>
        <w:rPr>
          <w:rFonts w:ascii="Times New Roman" w:eastAsia="Times New Roman" w:hAnsi="Times New Roman" w:cs="Times New Roman"/>
          <w:color w:val="000000"/>
          <w:sz w:val="20"/>
          <w:szCs w:val="20"/>
        </w:rPr>
        <w:t xml:space="preserve">ply to all levels of society so that it affects the length of time being a health </w:t>
      </w:r>
      <w:r>
        <w:rPr>
          <w:rFonts w:ascii="Times New Roman" w:eastAsia="Times New Roman" w:hAnsi="Times New Roman" w:cs="Times New Roman"/>
          <w:color w:val="000000"/>
          <w:sz w:val="20"/>
          <w:szCs w:val="20"/>
        </w:rPr>
        <w:t>cadre</w:t>
      </w:r>
      <w:r>
        <w:rPr>
          <w:rFonts w:ascii="Times New Roman" w:eastAsia="Times New Roman" w:hAnsi="Times New Roman" w:cs="Times New Roman"/>
          <w:color w:val="000000"/>
          <w:sz w:val="20"/>
          <w:szCs w:val="20"/>
        </w:rPr>
        <w:t xml:space="preserve">. The regeneration process for health cadres is also a necessity so that the regeneration process for health cadres can run well. The longer a health </w:t>
      </w:r>
      <w:r>
        <w:rPr>
          <w:rFonts w:ascii="Times New Roman" w:eastAsia="Times New Roman" w:hAnsi="Times New Roman" w:cs="Times New Roman"/>
          <w:color w:val="000000"/>
          <w:sz w:val="20"/>
          <w:szCs w:val="20"/>
        </w:rPr>
        <w:t>cadre</w:t>
      </w:r>
      <w:r>
        <w:rPr>
          <w:rFonts w:ascii="Times New Roman" w:eastAsia="Times New Roman" w:hAnsi="Times New Roman" w:cs="Times New Roman"/>
          <w:color w:val="000000"/>
          <w:sz w:val="20"/>
          <w:szCs w:val="20"/>
        </w:rPr>
        <w:t xml:space="preserve"> is, the bette</w:t>
      </w:r>
      <w:r>
        <w:rPr>
          <w:rFonts w:ascii="Times New Roman" w:eastAsia="Times New Roman" w:hAnsi="Times New Roman" w:cs="Times New Roman"/>
          <w:color w:val="000000"/>
          <w:sz w:val="20"/>
          <w:szCs w:val="20"/>
        </w:rPr>
        <w:t xml:space="preserve">r the understanding of the tasks that must be done and the better participation in activities. </w:t>
      </w:r>
    </w:p>
    <w:p w:rsidR="00CA076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Half of the health cadres have never received training on community-based stunting early detection. (</w:t>
      </w:r>
      <w:r>
        <w:rPr>
          <w:rFonts w:ascii="Times New Roman" w:eastAsia="Times New Roman" w:hAnsi="Times New Roman" w:cs="Times New Roman"/>
          <w:color w:val="000000"/>
          <w:sz w:val="20"/>
          <w:szCs w:val="20"/>
        </w:rPr>
        <w:t>Adistie</w:t>
      </w:r>
      <w:r>
        <w:rPr>
          <w:rFonts w:ascii="Times New Roman" w:eastAsia="Times New Roman" w:hAnsi="Times New Roman" w:cs="Times New Roman"/>
          <w:color w:val="000000"/>
          <w:sz w:val="20"/>
          <w:szCs w:val="20"/>
        </w:rPr>
        <w:t xml:space="preserve"> et al., 2017) stated that health cadres who have ne</w:t>
      </w:r>
      <w:r>
        <w:rPr>
          <w:rFonts w:ascii="Times New Roman" w:eastAsia="Times New Roman" w:hAnsi="Times New Roman" w:cs="Times New Roman"/>
          <w:color w:val="000000"/>
          <w:sz w:val="20"/>
          <w:szCs w:val="20"/>
        </w:rPr>
        <w:t xml:space="preserve">ver received training will tend to have less knowledge. </w:t>
      </w:r>
      <w:r>
        <w:rPr>
          <w:rFonts w:ascii="Times New Roman" w:eastAsia="Times New Roman" w:hAnsi="Times New Roman" w:cs="Times New Roman"/>
          <w:color w:val="000000"/>
          <w:sz w:val="20"/>
          <w:szCs w:val="20"/>
        </w:rPr>
        <w:t>The process</w:t>
      </w:r>
      <w:r>
        <w:rPr>
          <w:rFonts w:ascii="Times New Roman" w:eastAsia="Times New Roman" w:hAnsi="Times New Roman" w:cs="Times New Roman"/>
          <w:color w:val="000000"/>
          <w:sz w:val="20"/>
          <w:szCs w:val="20"/>
        </w:rPr>
        <w:t xml:space="preserve"> of </w:t>
      </w:r>
      <w:r>
        <w:rPr>
          <w:rFonts w:ascii="Times New Roman" w:eastAsia="Times New Roman" w:hAnsi="Times New Roman" w:cs="Times New Roman"/>
          <w:i/>
          <w:color w:val="000000"/>
          <w:sz w:val="20"/>
          <w:szCs w:val="20"/>
        </w:rPr>
        <w:t>upskilling</w:t>
      </w:r>
      <w:r>
        <w:rPr>
          <w:rFonts w:ascii="Times New Roman" w:eastAsia="Times New Roman" w:hAnsi="Times New Roman" w:cs="Times New Roman"/>
          <w:color w:val="000000"/>
          <w:sz w:val="20"/>
          <w:szCs w:val="20"/>
        </w:rPr>
        <w:t xml:space="preserve"> of health cadres is expected to increase the understanding of health cadres about early stunting detection, especially the active discovery of stunting cases in the community. So</w:t>
      </w:r>
      <w:r>
        <w:rPr>
          <w:rFonts w:ascii="Times New Roman" w:eastAsia="Times New Roman" w:hAnsi="Times New Roman" w:cs="Times New Roman"/>
          <w:color w:val="000000"/>
          <w:sz w:val="20"/>
          <w:szCs w:val="20"/>
        </w:rPr>
        <w:t xml:space="preserve">me of the characteristics of these health cadres directly affect their understanding of community-based stunting early detection. </w:t>
      </w:r>
    </w:p>
    <w:p w:rsidR="00CA076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results of </w:t>
      </w:r>
      <w:r>
        <w:rPr>
          <w:rFonts w:ascii="Times New Roman" w:eastAsia="Times New Roman" w:hAnsi="Times New Roman" w:cs="Times New Roman"/>
          <w:color w:val="000000"/>
          <w:sz w:val="20"/>
          <w:szCs w:val="20"/>
        </w:rPr>
        <w:t>the intervention</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upskilling</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of health cadres in two sessions in two days statistically showed a significant dif</w:t>
      </w:r>
      <w:r>
        <w:rPr>
          <w:rFonts w:ascii="Times New Roman" w:eastAsia="Times New Roman" w:hAnsi="Times New Roman" w:cs="Times New Roman"/>
          <w:color w:val="000000"/>
          <w:sz w:val="20"/>
          <w:szCs w:val="20"/>
        </w:rPr>
        <w:t xml:space="preserve">ference in the knowledge of health cadres about community-based early detection of stunting before and after the intervention in the intervention group with p = 0.000 (p&lt;0.05). This finding strengthens the results of research on </w:t>
      </w:r>
      <w:r>
        <w:rPr>
          <w:rFonts w:ascii="Times New Roman" w:eastAsia="Times New Roman" w:hAnsi="Times New Roman" w:cs="Times New Roman"/>
          <w:color w:val="000000"/>
          <w:sz w:val="20"/>
          <w:szCs w:val="20"/>
        </w:rPr>
        <w:t>Posyandi</w:t>
      </w:r>
      <w:r>
        <w:rPr>
          <w:rFonts w:ascii="Times New Roman" w:eastAsia="Times New Roman" w:hAnsi="Times New Roman" w:cs="Times New Roman"/>
          <w:color w:val="000000"/>
          <w:sz w:val="20"/>
          <w:szCs w:val="20"/>
        </w:rPr>
        <w:t xml:space="preserve"> cadre training tha</w:t>
      </w:r>
      <w:r>
        <w:rPr>
          <w:rFonts w:ascii="Times New Roman" w:eastAsia="Times New Roman" w:hAnsi="Times New Roman" w:cs="Times New Roman"/>
          <w:color w:val="000000"/>
          <w:sz w:val="20"/>
          <w:szCs w:val="20"/>
        </w:rPr>
        <w:t>t can increase knowledge, self-efficacy, and skills in preventing stunting in toddlers (</w:t>
      </w:r>
      <w:r>
        <w:rPr>
          <w:rFonts w:ascii="Times New Roman" w:eastAsia="Times New Roman" w:hAnsi="Times New Roman" w:cs="Times New Roman"/>
          <w:color w:val="000000"/>
          <w:sz w:val="20"/>
          <w:szCs w:val="20"/>
        </w:rPr>
        <w:t>Purnamasari</w:t>
      </w:r>
      <w:r>
        <w:rPr>
          <w:rFonts w:ascii="Times New Roman" w:eastAsia="Times New Roman" w:hAnsi="Times New Roman" w:cs="Times New Roman"/>
          <w:color w:val="000000"/>
          <w:sz w:val="20"/>
          <w:szCs w:val="20"/>
        </w:rPr>
        <w:t xml:space="preserve"> et al., 2020; </w:t>
      </w:r>
      <w:r>
        <w:rPr>
          <w:rFonts w:ascii="Times New Roman" w:eastAsia="Times New Roman" w:hAnsi="Times New Roman" w:cs="Times New Roman"/>
          <w:color w:val="000000"/>
          <w:sz w:val="20"/>
          <w:szCs w:val="20"/>
        </w:rPr>
        <w:t>Hariani</w:t>
      </w:r>
      <w:r>
        <w:rPr>
          <w:rFonts w:ascii="Times New Roman" w:eastAsia="Times New Roman" w:hAnsi="Times New Roman" w:cs="Times New Roman"/>
          <w:color w:val="000000"/>
          <w:sz w:val="20"/>
          <w:szCs w:val="20"/>
        </w:rPr>
        <w:t xml:space="preserve"> et al., 2019). The intervention sessions given in this study were by conducting health education about stunting early detection</w:t>
      </w:r>
      <w:r>
        <w:rPr>
          <w:rFonts w:ascii="Times New Roman" w:eastAsia="Times New Roman" w:hAnsi="Times New Roman" w:cs="Times New Roman"/>
          <w:color w:val="000000"/>
          <w:sz w:val="20"/>
          <w:szCs w:val="20"/>
        </w:rPr>
        <w:t xml:space="preserve">, trigger case-based stunting assessment through demonstrations and </w:t>
      </w:r>
      <w:r>
        <w:rPr>
          <w:rFonts w:ascii="Times New Roman" w:eastAsia="Times New Roman" w:hAnsi="Times New Roman" w:cs="Times New Roman"/>
          <w:i/>
          <w:color w:val="000000"/>
          <w:sz w:val="20"/>
          <w:szCs w:val="20"/>
        </w:rPr>
        <w:t>roleplay</w:t>
      </w:r>
      <w:r>
        <w:rPr>
          <w:rFonts w:ascii="Times New Roman" w:eastAsia="Times New Roman" w:hAnsi="Times New Roman" w:cs="Times New Roman"/>
          <w:color w:val="000000"/>
          <w:sz w:val="20"/>
          <w:szCs w:val="20"/>
        </w:rPr>
        <w:t>, and community-</w:t>
      </w:r>
      <w:r>
        <w:rPr>
          <w:rFonts w:ascii="Times New Roman" w:eastAsia="Times New Roman" w:hAnsi="Times New Roman" w:cs="Times New Roman"/>
          <w:color w:val="000000"/>
          <w:sz w:val="20"/>
          <w:szCs w:val="20"/>
        </w:rPr>
        <w:t xml:space="preserve">based stunting early detection simulations at </w:t>
      </w:r>
      <w:r>
        <w:rPr>
          <w:rFonts w:ascii="Times New Roman" w:eastAsia="Times New Roman" w:hAnsi="Times New Roman" w:cs="Times New Roman"/>
          <w:color w:val="000000"/>
          <w:sz w:val="20"/>
          <w:szCs w:val="20"/>
        </w:rPr>
        <w:t>posyandu</w:t>
      </w:r>
      <w:r>
        <w:rPr>
          <w:rFonts w:ascii="Times New Roman" w:eastAsia="Times New Roman" w:hAnsi="Times New Roman" w:cs="Times New Roman"/>
          <w:color w:val="000000"/>
          <w:sz w:val="20"/>
          <w:szCs w:val="20"/>
        </w:rPr>
        <w:t xml:space="preserve">. So this answers the role of health education </w:t>
      </w:r>
      <w:r>
        <w:rPr>
          <w:rFonts w:ascii="Times New Roman" w:eastAsia="Times New Roman" w:hAnsi="Times New Roman" w:cs="Times New Roman"/>
          <w:color w:val="000000"/>
          <w:sz w:val="20"/>
          <w:szCs w:val="20"/>
        </w:rPr>
        <w:t xml:space="preserve">interventions, demonstrations, and </w:t>
      </w:r>
      <w:r>
        <w:rPr>
          <w:rFonts w:ascii="Times New Roman" w:eastAsia="Times New Roman" w:hAnsi="Times New Roman" w:cs="Times New Roman"/>
          <w:i/>
          <w:color w:val="000000"/>
          <w:sz w:val="20"/>
          <w:szCs w:val="20"/>
        </w:rPr>
        <w:t>roleplays</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as well a</w:t>
      </w:r>
      <w:r>
        <w:rPr>
          <w:rFonts w:ascii="Times New Roman" w:eastAsia="Times New Roman" w:hAnsi="Times New Roman" w:cs="Times New Roman"/>
          <w:color w:val="000000"/>
          <w:sz w:val="20"/>
          <w:szCs w:val="20"/>
        </w:rPr>
        <w:t xml:space="preserve">s simulations in increasing cadre knowledge. Similar research on assisting </w:t>
      </w:r>
      <w:r>
        <w:rPr>
          <w:rFonts w:ascii="Times New Roman" w:eastAsia="Times New Roman" w:hAnsi="Times New Roman" w:cs="Times New Roman"/>
          <w:color w:val="000000"/>
          <w:sz w:val="20"/>
          <w:szCs w:val="20"/>
        </w:rPr>
        <w:t>posyandu</w:t>
      </w:r>
      <w:r>
        <w:rPr>
          <w:rFonts w:ascii="Times New Roman" w:eastAsia="Times New Roman" w:hAnsi="Times New Roman" w:cs="Times New Roman"/>
          <w:color w:val="000000"/>
          <w:sz w:val="20"/>
          <w:szCs w:val="20"/>
        </w:rPr>
        <w:t xml:space="preserve"> cadres in detecting child growth and development has proven to be able to increase knowledge about stunting among health cadres in </w:t>
      </w:r>
      <w:r>
        <w:rPr>
          <w:rFonts w:ascii="Times New Roman" w:eastAsia="Times New Roman" w:hAnsi="Times New Roman" w:cs="Times New Roman"/>
          <w:color w:val="000000"/>
          <w:sz w:val="20"/>
          <w:szCs w:val="20"/>
        </w:rPr>
        <w:t>Ringinpitu</w:t>
      </w:r>
      <w:r>
        <w:rPr>
          <w:rFonts w:ascii="Times New Roman" w:eastAsia="Times New Roman" w:hAnsi="Times New Roman" w:cs="Times New Roman"/>
          <w:color w:val="000000"/>
          <w:sz w:val="20"/>
          <w:szCs w:val="20"/>
        </w:rPr>
        <w:t xml:space="preserve"> Village, </w:t>
      </w:r>
      <w:r>
        <w:rPr>
          <w:rFonts w:ascii="Times New Roman" w:eastAsia="Times New Roman" w:hAnsi="Times New Roman" w:cs="Times New Roman"/>
          <w:color w:val="000000"/>
          <w:sz w:val="20"/>
          <w:szCs w:val="20"/>
        </w:rPr>
        <w:t>Plemahan</w:t>
      </w:r>
      <w:r>
        <w:rPr>
          <w:rFonts w:ascii="Times New Roman" w:eastAsia="Times New Roman" w:hAnsi="Times New Roman" w:cs="Times New Roman"/>
          <w:color w:val="000000"/>
          <w:sz w:val="20"/>
          <w:szCs w:val="20"/>
        </w:rPr>
        <w:t xml:space="preserve"> District, Ke</w:t>
      </w:r>
      <w:r>
        <w:rPr>
          <w:rFonts w:ascii="Times New Roman" w:eastAsia="Times New Roman" w:hAnsi="Times New Roman" w:cs="Times New Roman"/>
          <w:color w:val="000000"/>
          <w:sz w:val="20"/>
          <w:szCs w:val="20"/>
        </w:rPr>
        <w:t>diri Regency (</w:t>
      </w:r>
      <w:r>
        <w:rPr>
          <w:rFonts w:ascii="Times New Roman" w:eastAsia="Times New Roman" w:hAnsi="Times New Roman" w:cs="Times New Roman"/>
          <w:color w:val="000000"/>
          <w:sz w:val="20"/>
          <w:szCs w:val="20"/>
        </w:rPr>
        <w:t>Azizah</w:t>
      </w:r>
      <w:r>
        <w:rPr>
          <w:rFonts w:ascii="Times New Roman" w:eastAsia="Times New Roman" w:hAnsi="Times New Roman" w:cs="Times New Roman"/>
          <w:color w:val="000000"/>
          <w:sz w:val="20"/>
          <w:szCs w:val="20"/>
        </w:rPr>
        <w:t xml:space="preserve"> &amp; </w:t>
      </w:r>
      <w:r>
        <w:rPr>
          <w:rFonts w:ascii="Times New Roman" w:eastAsia="Times New Roman" w:hAnsi="Times New Roman" w:cs="Times New Roman"/>
          <w:color w:val="000000"/>
          <w:sz w:val="20"/>
          <w:szCs w:val="20"/>
        </w:rPr>
        <w:t>Wardhani</w:t>
      </w:r>
      <w:r>
        <w:rPr>
          <w:rFonts w:ascii="Times New Roman" w:eastAsia="Times New Roman" w:hAnsi="Times New Roman" w:cs="Times New Roman"/>
          <w:color w:val="000000"/>
          <w:sz w:val="20"/>
          <w:szCs w:val="20"/>
        </w:rPr>
        <w:t xml:space="preserve">, 2020). Similar findings are also found in efforts to assist health cadres and their impact on increasing knowledge in </w:t>
      </w:r>
      <w:r>
        <w:rPr>
          <w:rFonts w:ascii="Times New Roman" w:eastAsia="Times New Roman" w:hAnsi="Times New Roman" w:cs="Times New Roman"/>
          <w:color w:val="000000"/>
          <w:sz w:val="20"/>
          <w:szCs w:val="20"/>
        </w:rPr>
        <w:t>Betteng</w:t>
      </w:r>
      <w:r>
        <w:rPr>
          <w:rFonts w:ascii="Times New Roman" w:eastAsia="Times New Roman" w:hAnsi="Times New Roman" w:cs="Times New Roman"/>
          <w:color w:val="000000"/>
          <w:sz w:val="20"/>
          <w:szCs w:val="20"/>
        </w:rPr>
        <w:t xml:space="preserve"> Village, </w:t>
      </w:r>
      <w:r>
        <w:rPr>
          <w:rFonts w:ascii="Times New Roman" w:eastAsia="Times New Roman" w:hAnsi="Times New Roman" w:cs="Times New Roman"/>
          <w:color w:val="000000"/>
          <w:sz w:val="20"/>
          <w:szCs w:val="20"/>
        </w:rPr>
        <w:t>Pamboang</w:t>
      </w:r>
      <w:r>
        <w:rPr>
          <w:rFonts w:ascii="Times New Roman" w:eastAsia="Times New Roman" w:hAnsi="Times New Roman" w:cs="Times New Roman"/>
          <w:color w:val="000000"/>
          <w:sz w:val="20"/>
          <w:szCs w:val="20"/>
        </w:rPr>
        <w:t xml:space="preserve"> District, </w:t>
      </w:r>
      <w:r>
        <w:rPr>
          <w:rFonts w:ascii="Times New Roman" w:eastAsia="Times New Roman" w:hAnsi="Times New Roman" w:cs="Times New Roman"/>
          <w:color w:val="000000"/>
          <w:sz w:val="20"/>
          <w:szCs w:val="20"/>
        </w:rPr>
        <w:t>Majene</w:t>
      </w:r>
      <w:r>
        <w:rPr>
          <w:rFonts w:ascii="Times New Roman" w:eastAsia="Times New Roman" w:hAnsi="Times New Roman" w:cs="Times New Roman"/>
          <w:color w:val="000000"/>
          <w:sz w:val="20"/>
          <w:szCs w:val="20"/>
        </w:rPr>
        <w:t xml:space="preserve"> Regency (</w:t>
      </w:r>
      <w:r>
        <w:rPr>
          <w:rFonts w:ascii="Times New Roman" w:eastAsia="Times New Roman" w:hAnsi="Times New Roman" w:cs="Times New Roman"/>
          <w:color w:val="000000"/>
          <w:sz w:val="20"/>
          <w:szCs w:val="20"/>
        </w:rPr>
        <w:t>Masyita</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Haerianti</w:t>
      </w:r>
      <w:r>
        <w:rPr>
          <w:rFonts w:ascii="Times New Roman" w:eastAsia="Times New Roman" w:hAnsi="Times New Roman" w:cs="Times New Roman"/>
          <w:color w:val="000000"/>
          <w:sz w:val="20"/>
          <w:szCs w:val="20"/>
        </w:rPr>
        <w:t>, 2018).</w:t>
      </w:r>
    </w:p>
    <w:p w:rsidR="00CA0767">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study also found that </w:t>
      </w:r>
      <w:r>
        <w:rPr>
          <w:rFonts w:ascii="Times New Roman" w:eastAsia="Times New Roman" w:hAnsi="Times New Roman" w:cs="Times New Roman"/>
          <w:sz w:val="20"/>
          <w:szCs w:val="20"/>
        </w:rPr>
        <w:t xml:space="preserve">there was no significant difference in knowledge of health cadres about community-based early detection of stunting before and after intervention in the control group with p = 0.063 (p&gt;0.05). This can be answered by the difference in the provision </w:t>
      </w:r>
      <w:r>
        <w:rPr>
          <w:rFonts w:ascii="Times New Roman" w:eastAsia="Times New Roman" w:hAnsi="Times New Roman" w:cs="Times New Roman"/>
          <w:sz w:val="20"/>
          <w:szCs w:val="20"/>
        </w:rPr>
        <w:t>of interv</w:t>
      </w:r>
      <w:r>
        <w:rPr>
          <w:rFonts w:ascii="Times New Roman" w:eastAsia="Times New Roman" w:hAnsi="Times New Roman" w:cs="Times New Roman"/>
          <w:sz w:val="20"/>
          <w:szCs w:val="20"/>
        </w:rPr>
        <w:t>entions</w:t>
      </w:r>
      <w:r>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upskilling</w:t>
      </w:r>
      <w:r>
        <w:rPr>
          <w:rFonts w:ascii="Times New Roman" w:eastAsia="Times New Roman" w:hAnsi="Times New Roman" w:cs="Times New Roman"/>
          <w:sz w:val="20"/>
          <w:szCs w:val="20"/>
        </w:rPr>
        <w:t xml:space="preserve"> between the control and intervention groups. The control group only received information about stunting management in the form of modules and educational videos. Thus, this study further strengthens the role of intervention types and med</w:t>
      </w:r>
      <w:r>
        <w:rPr>
          <w:rFonts w:ascii="Times New Roman" w:eastAsia="Times New Roman" w:hAnsi="Times New Roman" w:cs="Times New Roman"/>
          <w:sz w:val="20"/>
          <w:szCs w:val="20"/>
        </w:rPr>
        <w:t xml:space="preserve">ia in health education in the community. Research conducted in Shiraz, Iran showed the effectiveness of </w:t>
      </w:r>
      <w:r>
        <w:rPr>
          <w:rFonts w:ascii="Times New Roman" w:eastAsia="Times New Roman" w:hAnsi="Times New Roman" w:cs="Times New Roman"/>
          <w:i/>
          <w:sz w:val="20"/>
          <w:szCs w:val="20"/>
        </w:rPr>
        <w:t xml:space="preserve">role-playing </w:t>
      </w:r>
      <w:r>
        <w:rPr>
          <w:rFonts w:ascii="Times New Roman" w:eastAsia="Times New Roman" w:hAnsi="Times New Roman" w:cs="Times New Roman"/>
          <w:sz w:val="20"/>
          <w:szCs w:val="20"/>
        </w:rPr>
        <w:t>compared to lecture sessions in increasing the knowledge of health cadres regarding the Breastfeeding Promotion Program (</w:t>
      </w:r>
      <w:r>
        <w:rPr>
          <w:rFonts w:ascii="Times New Roman" w:eastAsia="Times New Roman" w:hAnsi="Times New Roman" w:cs="Times New Roman"/>
          <w:sz w:val="20"/>
          <w:szCs w:val="20"/>
        </w:rPr>
        <w:t>Vizeshfar</w:t>
      </w:r>
      <w:r>
        <w:rPr>
          <w:rFonts w:ascii="Times New Roman" w:eastAsia="Times New Roman" w:hAnsi="Times New Roman" w:cs="Times New Roman"/>
          <w:sz w:val="20"/>
          <w:szCs w:val="20"/>
        </w:rPr>
        <w:t xml:space="preserve"> et al., 201</w:t>
      </w:r>
      <w:r>
        <w:rPr>
          <w:rFonts w:ascii="Times New Roman" w:eastAsia="Times New Roman" w:hAnsi="Times New Roman" w:cs="Times New Roman"/>
          <w:sz w:val="20"/>
          <w:szCs w:val="20"/>
        </w:rPr>
        <w:t>9). The results of a similar study on the importance of educational methods were explained in the revitalization program for the role of cadres in stunting detection in the Bogor Regency. The study showed that the intervention group that received a series of t</w:t>
      </w:r>
      <w:r>
        <w:rPr>
          <w:rFonts w:ascii="Times New Roman" w:eastAsia="Times New Roman" w:hAnsi="Times New Roman" w:cs="Times New Roman"/>
          <w:sz w:val="20"/>
          <w:szCs w:val="20"/>
        </w:rPr>
        <w:t xml:space="preserve">raining through group discussions, games, </w:t>
      </w:r>
      <w:r>
        <w:rPr>
          <w:rFonts w:ascii="Times New Roman" w:eastAsia="Times New Roman" w:hAnsi="Times New Roman" w:cs="Times New Roman"/>
          <w:i/>
          <w:sz w:val="20"/>
          <w:szCs w:val="20"/>
        </w:rPr>
        <w:t xml:space="preserve">role-plays, </w:t>
      </w:r>
      <w:r>
        <w:rPr>
          <w:rFonts w:ascii="Times New Roman" w:eastAsia="Times New Roman" w:hAnsi="Times New Roman" w:cs="Times New Roman"/>
          <w:sz w:val="20"/>
          <w:szCs w:val="20"/>
        </w:rPr>
        <w:t>and seminars had a better level of knowledge than the control group who only received observation activities (</w:t>
      </w:r>
      <w:r>
        <w:rPr>
          <w:rFonts w:ascii="Times New Roman" w:eastAsia="Times New Roman" w:hAnsi="Times New Roman" w:cs="Times New Roman"/>
          <w:sz w:val="20"/>
          <w:szCs w:val="20"/>
        </w:rPr>
        <w:t>Rahmawati</w:t>
      </w:r>
      <w:r>
        <w:rPr>
          <w:rFonts w:ascii="Times New Roman" w:eastAsia="Times New Roman" w:hAnsi="Times New Roman" w:cs="Times New Roman"/>
          <w:sz w:val="20"/>
          <w:szCs w:val="20"/>
        </w:rPr>
        <w:t xml:space="preserve"> et al., 2020).</w:t>
      </w:r>
    </w:p>
    <w:p w:rsidR="00CA0767">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Table 5 explains that there is a statistically significant effect of </w:t>
      </w:r>
      <w:r>
        <w:rPr>
          <w:rFonts w:ascii="Times New Roman" w:eastAsia="Times New Roman" w:hAnsi="Times New Roman" w:cs="Times New Roman"/>
          <w:i/>
          <w:sz w:val="20"/>
          <w:szCs w:val="20"/>
        </w:rPr>
        <w:t>upskilling</w:t>
      </w:r>
      <w:r>
        <w:rPr>
          <w:rFonts w:ascii="Times New Roman" w:eastAsia="Times New Roman" w:hAnsi="Times New Roman" w:cs="Times New Roman"/>
          <w:sz w:val="20"/>
          <w:szCs w:val="20"/>
        </w:rPr>
        <w:t xml:space="preserve"> health cadres on knowledge of health cadres about community-based early detection of stunting with p = 0.000 (p &lt;0.05). These results strengthen research on cadre empowerment t</w:t>
      </w:r>
      <w:r>
        <w:rPr>
          <w:rFonts w:ascii="Times New Roman" w:eastAsia="Times New Roman" w:hAnsi="Times New Roman" w:cs="Times New Roman"/>
          <w:sz w:val="20"/>
          <w:szCs w:val="20"/>
        </w:rPr>
        <w:t xml:space="preserve">hrough a series of stunting detection and prevention training in the Bogor Regency area (Martha et al., 2020). The potential for increasing cadre knowledge through this knowledge is also similar to the training carried out in </w:t>
      </w:r>
      <w:r>
        <w:rPr>
          <w:rFonts w:ascii="Times New Roman" w:eastAsia="Times New Roman" w:hAnsi="Times New Roman" w:cs="Times New Roman"/>
          <w:sz w:val="20"/>
          <w:szCs w:val="20"/>
        </w:rPr>
        <w:t>Luwigoong</w:t>
      </w:r>
      <w:r>
        <w:rPr>
          <w:rFonts w:ascii="Times New Roman" w:eastAsia="Times New Roman" w:hAnsi="Times New Roman" w:cs="Times New Roman"/>
          <w:sz w:val="20"/>
          <w:szCs w:val="20"/>
        </w:rPr>
        <w:t xml:space="preserve"> Village, </w:t>
      </w:r>
      <w:r>
        <w:rPr>
          <w:rFonts w:ascii="Times New Roman" w:eastAsia="Times New Roman" w:hAnsi="Times New Roman" w:cs="Times New Roman"/>
          <w:sz w:val="20"/>
          <w:szCs w:val="20"/>
        </w:rPr>
        <w:t>Luwigoong</w:t>
      </w:r>
      <w:r>
        <w:rPr>
          <w:rFonts w:ascii="Times New Roman" w:eastAsia="Times New Roman" w:hAnsi="Times New Roman" w:cs="Times New Roman"/>
          <w:sz w:val="20"/>
          <w:szCs w:val="20"/>
        </w:rPr>
        <w:t xml:space="preserve"> D</w:t>
      </w:r>
      <w:r>
        <w:rPr>
          <w:rFonts w:ascii="Times New Roman" w:eastAsia="Times New Roman" w:hAnsi="Times New Roman" w:cs="Times New Roman"/>
          <w:sz w:val="20"/>
          <w:szCs w:val="20"/>
        </w:rPr>
        <w:t xml:space="preserve">istrict, </w:t>
      </w:r>
      <w:r>
        <w:rPr>
          <w:rFonts w:ascii="Times New Roman" w:eastAsia="Times New Roman" w:hAnsi="Times New Roman" w:cs="Times New Roman"/>
          <w:sz w:val="20"/>
          <w:szCs w:val="20"/>
        </w:rPr>
        <w:t>Garut</w:t>
      </w:r>
      <w:r>
        <w:rPr>
          <w:rFonts w:ascii="Times New Roman" w:eastAsia="Times New Roman" w:hAnsi="Times New Roman" w:cs="Times New Roman"/>
          <w:sz w:val="20"/>
          <w:szCs w:val="20"/>
        </w:rPr>
        <w:t xml:space="preserve"> Regency through the use of the Stunting-Based Child (ABS) application (</w:t>
      </w:r>
      <w:r>
        <w:rPr>
          <w:rFonts w:ascii="Times New Roman" w:eastAsia="Times New Roman" w:hAnsi="Times New Roman" w:cs="Times New Roman"/>
          <w:sz w:val="20"/>
          <w:szCs w:val="20"/>
        </w:rPr>
        <w:t>Handayani</w:t>
      </w:r>
      <w:r>
        <w:rPr>
          <w:rFonts w:ascii="Times New Roman" w:eastAsia="Times New Roman" w:hAnsi="Times New Roman" w:cs="Times New Roman"/>
          <w:sz w:val="20"/>
          <w:szCs w:val="20"/>
        </w:rPr>
        <w:t xml:space="preserve"> et al., 2019). Other studies have also shown an increase in knowledge of health cadres related to stunting prevention and management after training and empowerm</w:t>
      </w:r>
      <w:r>
        <w:rPr>
          <w:rFonts w:ascii="Times New Roman" w:eastAsia="Times New Roman" w:hAnsi="Times New Roman" w:cs="Times New Roman"/>
          <w:sz w:val="20"/>
          <w:szCs w:val="20"/>
        </w:rPr>
        <w:t>ent of health cadres (</w:t>
      </w:r>
      <w:r>
        <w:rPr>
          <w:rFonts w:ascii="Times New Roman" w:eastAsia="Times New Roman" w:hAnsi="Times New Roman" w:cs="Times New Roman"/>
          <w:sz w:val="20"/>
          <w:szCs w:val="20"/>
        </w:rPr>
        <w:t>Wijayanti</w:t>
      </w:r>
      <w:r>
        <w:rPr>
          <w:rFonts w:ascii="Times New Roman" w:eastAsia="Times New Roman" w:hAnsi="Times New Roman" w:cs="Times New Roman"/>
          <w:sz w:val="20"/>
          <w:szCs w:val="20"/>
        </w:rPr>
        <w:t xml:space="preserve"> &amp; </w:t>
      </w:r>
      <w:r>
        <w:rPr>
          <w:rFonts w:ascii="Times New Roman" w:eastAsia="Times New Roman" w:hAnsi="Times New Roman" w:cs="Times New Roman"/>
          <w:sz w:val="20"/>
          <w:szCs w:val="20"/>
        </w:rPr>
        <w:t>Sariani</w:t>
      </w:r>
      <w:r>
        <w:rPr>
          <w:rFonts w:ascii="Times New Roman" w:eastAsia="Times New Roman" w:hAnsi="Times New Roman" w:cs="Times New Roman"/>
          <w:sz w:val="20"/>
          <w:szCs w:val="20"/>
        </w:rPr>
        <w:t xml:space="preserve">, 2020; </w:t>
      </w:r>
      <w:r>
        <w:rPr>
          <w:rFonts w:ascii="Times New Roman" w:eastAsia="Times New Roman" w:hAnsi="Times New Roman" w:cs="Times New Roman"/>
          <w:sz w:val="20"/>
          <w:szCs w:val="20"/>
        </w:rPr>
        <w:t>Tampake</w:t>
      </w:r>
      <w:r>
        <w:rPr>
          <w:rFonts w:ascii="Times New Roman" w:eastAsia="Times New Roman" w:hAnsi="Times New Roman" w:cs="Times New Roman"/>
          <w:sz w:val="20"/>
          <w:szCs w:val="20"/>
        </w:rPr>
        <w:t xml:space="preserve"> et al., 2021). Thus, training and </w:t>
      </w:r>
      <w:r>
        <w:rPr>
          <w:rFonts w:ascii="Times New Roman" w:eastAsia="Times New Roman" w:hAnsi="Times New Roman" w:cs="Times New Roman"/>
          <w:i/>
          <w:sz w:val="20"/>
          <w:szCs w:val="20"/>
        </w:rPr>
        <w:t>knowledge-</w:t>
      </w:r>
      <w:r>
        <w:rPr>
          <w:rFonts w:ascii="Times New Roman" w:eastAsia="Times New Roman" w:hAnsi="Times New Roman" w:cs="Times New Roman"/>
          <w:i/>
          <w:sz w:val="20"/>
          <w:szCs w:val="20"/>
        </w:rPr>
        <w:t xml:space="preserve">sharing </w:t>
      </w:r>
      <w:r>
        <w:rPr>
          <w:rFonts w:ascii="Times New Roman" w:eastAsia="Times New Roman" w:hAnsi="Times New Roman" w:cs="Times New Roman"/>
          <w:sz w:val="20"/>
          <w:szCs w:val="20"/>
        </w:rPr>
        <w:t>through</w:t>
      </w:r>
      <w:r>
        <w:rPr>
          <w:rFonts w:ascii="Times New Roman" w:eastAsia="Times New Roman" w:hAnsi="Times New Roman" w:cs="Times New Roman"/>
          <w:sz w:val="20"/>
          <w:szCs w:val="20"/>
        </w:rPr>
        <w:t xml:space="preserve"> a variety of learning/training methods obtained by health cadres during training are important to maintain the role of health cadres in th</w:t>
      </w:r>
      <w:r>
        <w:rPr>
          <w:rFonts w:ascii="Times New Roman" w:eastAsia="Times New Roman" w:hAnsi="Times New Roman" w:cs="Times New Roman"/>
          <w:sz w:val="20"/>
          <w:szCs w:val="20"/>
        </w:rPr>
        <w:t xml:space="preserve">e community. This is in line with research that shows the importance of the role </w:t>
      </w:r>
      <w:r>
        <w:rPr>
          <w:rFonts w:ascii="Times New Roman" w:eastAsia="Times New Roman" w:hAnsi="Times New Roman" w:cs="Times New Roman"/>
          <w:i/>
          <w:sz w:val="20"/>
          <w:szCs w:val="20"/>
        </w:rPr>
        <w:t>of knowledge-sharing</w:t>
      </w:r>
      <w:r>
        <w:rPr>
          <w:rFonts w:ascii="Times New Roman" w:eastAsia="Times New Roman" w:hAnsi="Times New Roman" w:cs="Times New Roman"/>
          <w:sz w:val="20"/>
          <w:szCs w:val="20"/>
        </w:rPr>
        <w:t xml:space="preserve"> in shaping the motivation of health cadres (Singh et al., 2016).</w:t>
      </w:r>
    </w:p>
    <w:p w:rsidR="00CA0767">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u w:val="single"/>
        </w:rPr>
      </w:pPr>
    </w:p>
    <w:p w:rsidR="00CA0767">
      <w:pPr>
        <w:spacing w:after="0" w:line="240" w:lineRule="auto"/>
        <w:rPr>
          <w:rFonts w:ascii="Times New Roman" w:eastAsia="Times New Roman" w:hAnsi="Times New Roman" w:cs="Times New Roman"/>
          <w:b/>
          <w:color w:val="0E101A"/>
        </w:rPr>
      </w:pPr>
      <w:r>
        <w:rPr>
          <w:rFonts w:ascii="Times New Roman" w:eastAsia="Times New Roman" w:hAnsi="Times New Roman" w:cs="Times New Roman"/>
          <w:b/>
          <w:color w:val="0E101A"/>
        </w:rPr>
        <w:t>CONCLUSION</w:t>
      </w:r>
    </w:p>
    <w:p w:rsidR="00CA0767">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results of this study can be concluded that there is a statistically significant difference in knowledge about community-based early detection of stunting before and after the intervention in the intervention group. However, it did not show a statistic</w:t>
      </w:r>
      <w:r>
        <w:rPr>
          <w:rFonts w:ascii="Times New Roman" w:eastAsia="Times New Roman" w:hAnsi="Times New Roman" w:cs="Times New Roman"/>
          <w:sz w:val="20"/>
          <w:szCs w:val="20"/>
        </w:rPr>
        <w:t xml:space="preserve">ally significant difference in knowledge about community-based early detection of stunting before and after intervention in the control group. </w:t>
      </w:r>
      <w:r>
        <w:rPr>
          <w:rFonts w:ascii="Times New Roman" w:eastAsia="Times New Roman" w:hAnsi="Times New Roman" w:cs="Times New Roman"/>
          <w:i/>
          <w:sz w:val="20"/>
          <w:szCs w:val="20"/>
        </w:rPr>
        <w:t>Upskilling</w:t>
      </w:r>
      <w:r>
        <w:rPr>
          <w:rFonts w:ascii="Times New Roman" w:eastAsia="Times New Roman" w:hAnsi="Times New Roman" w:cs="Times New Roman"/>
          <w:sz w:val="20"/>
          <w:szCs w:val="20"/>
        </w:rPr>
        <w:t xml:space="preserve"> of health cadres increases knowledge about community-based early detection of stunting. </w:t>
      </w:r>
    </w:p>
    <w:p w:rsidR="00CA0767">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interventions</w:t>
      </w:r>
      <w:r>
        <w:rPr>
          <w:rFonts w:ascii="Times New Roman" w:eastAsia="Times New Roman" w:hAnsi="Times New Roman" w:cs="Times New Roman"/>
          <w:sz w:val="20"/>
          <w:szCs w:val="20"/>
        </w:rPr>
        <w:t xml:space="preserve"> for </w:t>
      </w:r>
      <w:r>
        <w:rPr>
          <w:rFonts w:ascii="Times New Roman" w:eastAsia="Times New Roman" w:hAnsi="Times New Roman" w:cs="Times New Roman"/>
          <w:i/>
          <w:sz w:val="20"/>
          <w:szCs w:val="20"/>
        </w:rPr>
        <w:t>Upskilling</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health cadres can be integrated with the implementation of programs or activities for maternal and child health services at </w:t>
      </w:r>
      <w:r>
        <w:rPr>
          <w:rFonts w:ascii="Times New Roman" w:eastAsia="Times New Roman" w:hAnsi="Times New Roman" w:cs="Times New Roman"/>
          <w:sz w:val="20"/>
          <w:szCs w:val="20"/>
        </w:rPr>
        <w:t>posyandu</w:t>
      </w:r>
      <w:r>
        <w:rPr>
          <w:rFonts w:ascii="Times New Roman" w:eastAsia="Times New Roman" w:hAnsi="Times New Roman" w:cs="Times New Roman"/>
          <w:sz w:val="20"/>
          <w:szCs w:val="20"/>
        </w:rPr>
        <w:t>. Health cadres as part of the community and extension of health workers participate actively in handling stun</w:t>
      </w:r>
      <w:r>
        <w:rPr>
          <w:rFonts w:ascii="Times New Roman" w:eastAsia="Times New Roman" w:hAnsi="Times New Roman" w:cs="Times New Roman"/>
          <w:sz w:val="20"/>
          <w:szCs w:val="20"/>
        </w:rPr>
        <w:t>ting problems in their respective regions. Knowledge of health cadres about early detection of stunting is the basis or capital in increasing the number of new cases of stunting in the community. Early detection of stunting in toddlers can improve the mana</w:t>
      </w:r>
      <w:r>
        <w:rPr>
          <w:rFonts w:ascii="Times New Roman" w:eastAsia="Times New Roman" w:hAnsi="Times New Roman" w:cs="Times New Roman"/>
          <w:sz w:val="20"/>
          <w:szCs w:val="20"/>
        </w:rPr>
        <w:t xml:space="preserve">gement or good handling of stunting to prevent unexpected complications. </w:t>
      </w:r>
    </w:p>
    <w:p w:rsidR="00CA0767">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Further research can identify the effect of </w:t>
      </w:r>
      <w:r>
        <w:rPr>
          <w:rFonts w:ascii="Times New Roman" w:eastAsia="Times New Roman" w:hAnsi="Times New Roman" w:cs="Times New Roman"/>
          <w:i/>
          <w:sz w:val="20"/>
          <w:szCs w:val="20"/>
        </w:rPr>
        <w:t>upskilling</w:t>
      </w:r>
      <w:r>
        <w:rPr>
          <w:rFonts w:ascii="Times New Roman" w:eastAsia="Times New Roman" w:hAnsi="Times New Roman" w:cs="Times New Roman"/>
          <w:sz w:val="20"/>
          <w:szCs w:val="20"/>
        </w:rPr>
        <w:t xml:space="preserve"> health</w:t>
      </w:r>
      <w:r>
        <w:rPr>
          <w:rFonts w:ascii="Times New Roman" w:eastAsia="Times New Roman" w:hAnsi="Times New Roman" w:cs="Times New Roman"/>
          <w:sz w:val="20"/>
          <w:szCs w:val="20"/>
        </w:rPr>
        <w:t xml:space="preserve"> cadres on other variables such as perceptions, readiness, attitudes, skills, self-efficacy, or community-based st</w:t>
      </w:r>
      <w:r>
        <w:rPr>
          <w:rFonts w:ascii="Times New Roman" w:eastAsia="Times New Roman" w:hAnsi="Times New Roman" w:cs="Times New Roman"/>
          <w:sz w:val="20"/>
          <w:szCs w:val="20"/>
        </w:rPr>
        <w:t>unting early detection behavior. Further research can also identify other innovative community-based interventions that can increase knowledge of stunting early detection in health cadres according to the needs of the community. The development of health e</w:t>
      </w:r>
      <w:r>
        <w:rPr>
          <w:rFonts w:ascii="Times New Roman" w:eastAsia="Times New Roman" w:hAnsi="Times New Roman" w:cs="Times New Roman"/>
          <w:sz w:val="20"/>
          <w:szCs w:val="20"/>
        </w:rPr>
        <w:t xml:space="preserve">ducation media is a necessity as a supporter in the community-based intervention process. </w:t>
      </w:r>
    </w:p>
    <w:p w:rsidR="00CA0767">
      <w:pPr>
        <w:spacing w:after="0" w:line="360" w:lineRule="auto"/>
        <w:ind w:firstLine="720"/>
        <w:jc w:val="both"/>
        <w:rPr>
          <w:rFonts w:ascii="Times New Roman" w:eastAsia="Times New Roman" w:hAnsi="Times New Roman" w:cs="Times New Roman"/>
          <w:sz w:val="20"/>
          <w:szCs w:val="20"/>
        </w:rPr>
      </w:pPr>
    </w:p>
    <w:p w:rsidR="00CA0767">
      <w:pPr>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ACKNOWLEDGEMENT </w:t>
      </w:r>
    </w:p>
    <w:p w:rsidR="00CA0767">
      <w:pPr>
        <w:spacing w:after="0" w:line="360" w:lineRule="auto"/>
        <w:ind w:firstLine="720"/>
        <w:jc w:val="both"/>
        <w:rPr>
          <w:rFonts w:ascii="Times New Roman" w:eastAsia="Times New Roman" w:hAnsi="Times New Roman" w:cs="Times New Roman"/>
          <w:sz w:val="20"/>
          <w:szCs w:val="20"/>
        </w:rPr>
      </w:pPr>
      <w:bookmarkStart w:id="1" w:name="_gjdgxs" w:colFirst="0" w:colLast="0"/>
      <w:bookmarkEnd w:id="1"/>
      <w:r>
        <w:rPr>
          <w:rFonts w:ascii="Times New Roman" w:eastAsia="Times New Roman" w:hAnsi="Times New Roman" w:cs="Times New Roman"/>
          <w:sz w:val="20"/>
          <w:szCs w:val="20"/>
        </w:rPr>
        <w:t xml:space="preserve">This research was carried out with the support of the </w:t>
      </w:r>
      <w:r>
        <w:rPr>
          <w:rFonts w:ascii="Times New Roman" w:eastAsia="Times New Roman" w:hAnsi="Times New Roman" w:cs="Times New Roman"/>
          <w:sz w:val="20"/>
          <w:szCs w:val="20"/>
        </w:rPr>
        <w:t>Muhamadiyah</w:t>
      </w:r>
      <w:r>
        <w:rPr>
          <w:rFonts w:ascii="Times New Roman" w:eastAsia="Times New Roman" w:hAnsi="Times New Roman" w:cs="Times New Roman"/>
          <w:sz w:val="20"/>
          <w:szCs w:val="20"/>
        </w:rPr>
        <w:t xml:space="preserve"> Research Grant Batch V from the Council for Higher Education Research and Develop</w:t>
      </w:r>
      <w:r>
        <w:rPr>
          <w:rFonts w:ascii="Times New Roman" w:eastAsia="Times New Roman" w:hAnsi="Times New Roman" w:cs="Times New Roman"/>
          <w:sz w:val="20"/>
          <w:szCs w:val="20"/>
        </w:rPr>
        <w:t xml:space="preserve">ment of the Central Leadership of </w:t>
      </w:r>
      <w:r>
        <w:rPr>
          <w:rFonts w:ascii="Times New Roman" w:eastAsia="Times New Roman" w:hAnsi="Times New Roman" w:cs="Times New Roman"/>
          <w:sz w:val="20"/>
          <w:szCs w:val="20"/>
        </w:rPr>
        <w:t>Muhammadiyah</w:t>
      </w:r>
      <w:r>
        <w:rPr>
          <w:rFonts w:ascii="Times New Roman" w:eastAsia="Times New Roman" w:hAnsi="Times New Roman" w:cs="Times New Roman"/>
          <w:sz w:val="20"/>
          <w:szCs w:val="20"/>
        </w:rPr>
        <w:t xml:space="preserve"> in 2021. The researcher would like to thank the Kudus District Health Office, </w:t>
      </w:r>
      <w:r>
        <w:rPr>
          <w:rFonts w:ascii="Times New Roman" w:eastAsia="Times New Roman" w:hAnsi="Times New Roman" w:cs="Times New Roman"/>
          <w:sz w:val="20"/>
          <w:szCs w:val="20"/>
        </w:rPr>
        <w:t>Undaan</w:t>
      </w:r>
      <w:r>
        <w:rPr>
          <w:rFonts w:ascii="Times New Roman" w:eastAsia="Times New Roman" w:hAnsi="Times New Roman" w:cs="Times New Roman"/>
          <w:sz w:val="20"/>
          <w:szCs w:val="20"/>
        </w:rPr>
        <w:t xml:space="preserve"> Health Center, and </w:t>
      </w:r>
      <w:r>
        <w:rPr>
          <w:rFonts w:ascii="Times New Roman" w:eastAsia="Times New Roman" w:hAnsi="Times New Roman" w:cs="Times New Roman"/>
          <w:sz w:val="20"/>
          <w:szCs w:val="20"/>
        </w:rPr>
        <w:t>Dawe</w:t>
      </w:r>
      <w:r>
        <w:rPr>
          <w:rFonts w:ascii="Times New Roman" w:eastAsia="Times New Roman" w:hAnsi="Times New Roman" w:cs="Times New Roman"/>
          <w:sz w:val="20"/>
          <w:szCs w:val="20"/>
        </w:rPr>
        <w:t xml:space="preserve"> Health Center for facilitating the research. The researcher also thanked the health cadres in the </w:t>
      </w:r>
      <w:r>
        <w:rPr>
          <w:rFonts w:ascii="Times New Roman" w:eastAsia="Times New Roman" w:hAnsi="Times New Roman" w:cs="Times New Roman"/>
          <w:sz w:val="20"/>
          <w:szCs w:val="20"/>
        </w:rPr>
        <w:t>Un</w:t>
      </w:r>
      <w:r>
        <w:rPr>
          <w:rFonts w:ascii="Times New Roman" w:eastAsia="Times New Roman" w:hAnsi="Times New Roman" w:cs="Times New Roman"/>
          <w:sz w:val="20"/>
          <w:szCs w:val="20"/>
        </w:rPr>
        <w:t>daan</w:t>
      </w:r>
      <w:r>
        <w:rPr>
          <w:rFonts w:ascii="Times New Roman" w:eastAsia="Times New Roman" w:hAnsi="Times New Roman" w:cs="Times New Roman"/>
          <w:sz w:val="20"/>
          <w:szCs w:val="20"/>
        </w:rPr>
        <w:t xml:space="preserve"> Health Center and </w:t>
      </w:r>
      <w:r>
        <w:rPr>
          <w:rFonts w:ascii="Times New Roman" w:eastAsia="Times New Roman" w:hAnsi="Times New Roman" w:cs="Times New Roman"/>
          <w:sz w:val="20"/>
          <w:szCs w:val="20"/>
        </w:rPr>
        <w:t>Dawe</w:t>
      </w:r>
      <w:r>
        <w:rPr>
          <w:rFonts w:ascii="Times New Roman" w:eastAsia="Times New Roman" w:hAnsi="Times New Roman" w:cs="Times New Roman"/>
          <w:sz w:val="20"/>
          <w:szCs w:val="20"/>
        </w:rPr>
        <w:t xml:space="preserve"> Health Center Work Areas who had participated in the research activities. </w:t>
      </w:r>
    </w:p>
    <w:p w:rsidR="00CA0767">
      <w:pPr>
        <w:spacing w:after="0" w:line="360" w:lineRule="auto"/>
        <w:rPr>
          <w:rFonts w:ascii="Times New Roman" w:eastAsia="Times New Roman" w:hAnsi="Times New Roman" w:cs="Times New Roman"/>
          <w:b/>
          <w:color w:val="000000"/>
          <w:sz w:val="20"/>
          <w:szCs w:val="20"/>
        </w:rPr>
      </w:pPr>
    </w:p>
    <w:p w:rsidR="00CA0767">
      <w:pPr>
        <w:spacing w:after="0" w:line="360" w:lineRule="auto"/>
        <w:rPr>
          <w:rFonts w:ascii="Times New Roman" w:eastAsia="Times New Roman" w:hAnsi="Times New Roman" w:cs="Times New Roman"/>
        </w:rPr>
      </w:pPr>
      <w:r>
        <w:rPr>
          <w:rFonts w:ascii="Times New Roman" w:eastAsia="Times New Roman" w:hAnsi="Times New Roman" w:cs="Times New Roman"/>
          <w:b/>
          <w:color w:val="000000"/>
        </w:rPr>
        <w:t>REFERENCES</w:t>
      </w:r>
    </w:p>
    <w:p w:rsidR="00CA0767">
      <w:pPr>
        <w:widowControl w:val="0"/>
        <w:spacing w:after="0" w:line="240" w:lineRule="auto"/>
        <w:ind w:left="480" w:hanging="4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Adistie</w:t>
      </w:r>
      <w:r>
        <w:rPr>
          <w:rFonts w:ascii="Times New Roman" w:eastAsia="Times New Roman" w:hAnsi="Times New Roman" w:cs="Times New Roman"/>
          <w:sz w:val="20"/>
          <w:szCs w:val="20"/>
        </w:rPr>
        <w:t xml:space="preserve">, F., </w:t>
      </w:r>
      <w:r>
        <w:rPr>
          <w:rFonts w:ascii="Times New Roman" w:eastAsia="Times New Roman" w:hAnsi="Times New Roman" w:cs="Times New Roman"/>
          <w:sz w:val="20"/>
          <w:szCs w:val="20"/>
        </w:rPr>
        <w:t>Lumbantobing</w:t>
      </w:r>
      <w:r>
        <w:rPr>
          <w:rFonts w:ascii="Times New Roman" w:eastAsia="Times New Roman" w:hAnsi="Times New Roman" w:cs="Times New Roman"/>
          <w:sz w:val="20"/>
          <w:szCs w:val="20"/>
        </w:rPr>
        <w:t>, VBM, &amp; Maryam, NNA (2018).</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Empowerment of Health Cadres in Early Detection of Stunting and Stimulation of Growth a</w:t>
      </w:r>
      <w:r>
        <w:rPr>
          <w:rFonts w:ascii="Times New Roman" w:eastAsia="Times New Roman" w:hAnsi="Times New Roman" w:cs="Times New Roman"/>
          <w:sz w:val="20"/>
          <w:szCs w:val="20"/>
        </w:rPr>
        <w:t>nd Development in Toddlers.</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Media </w:t>
      </w:r>
      <w:r>
        <w:rPr>
          <w:rFonts w:ascii="Times New Roman" w:eastAsia="Times New Roman" w:hAnsi="Times New Roman" w:cs="Times New Roman"/>
          <w:i/>
          <w:sz w:val="20"/>
          <w:szCs w:val="20"/>
        </w:rPr>
        <w:t>Karya</w:t>
      </w:r>
      <w:r>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Kesehatan</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1</w:t>
      </w:r>
      <w:r>
        <w:rPr>
          <w:rFonts w:ascii="Times New Roman" w:eastAsia="Times New Roman" w:hAnsi="Times New Roman" w:cs="Times New Roman"/>
          <w:sz w:val="20"/>
          <w:szCs w:val="20"/>
        </w:rPr>
        <w:t xml:space="preserve">(2), 173–184. </w:t>
      </w:r>
      <w:r>
        <w:rPr>
          <w:rFonts w:ascii="Times New Roman" w:eastAsia="Times New Roman" w:hAnsi="Times New Roman" w:cs="Times New Roman"/>
          <w:sz w:val="20"/>
          <w:szCs w:val="20"/>
        </w:rPr>
        <w:t>https://doi.org/10.24198/mkk.v1i2.18863</w:t>
      </w:r>
    </w:p>
    <w:p w:rsidR="00CA0767">
      <w:pPr>
        <w:widowControl w:val="0"/>
        <w:spacing w:after="0" w:line="240" w:lineRule="auto"/>
        <w:ind w:left="480" w:hanging="4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Adistie</w:t>
      </w:r>
      <w:r>
        <w:rPr>
          <w:rFonts w:ascii="Times New Roman" w:eastAsia="Times New Roman" w:hAnsi="Times New Roman" w:cs="Times New Roman"/>
          <w:sz w:val="20"/>
          <w:szCs w:val="20"/>
        </w:rPr>
        <w:t>, F., Maryam, NNA, &amp; ​​</w:t>
      </w:r>
      <w:r>
        <w:rPr>
          <w:rFonts w:ascii="Times New Roman" w:eastAsia="Times New Roman" w:hAnsi="Times New Roman" w:cs="Times New Roman"/>
          <w:sz w:val="20"/>
          <w:szCs w:val="20"/>
        </w:rPr>
        <w:t>Lumbantobing</w:t>
      </w:r>
      <w:r>
        <w:rPr>
          <w:rFonts w:ascii="Times New Roman" w:eastAsia="Times New Roman" w:hAnsi="Times New Roman" w:cs="Times New Roman"/>
          <w:sz w:val="20"/>
          <w:szCs w:val="20"/>
        </w:rPr>
        <w:t>, VBM (2017).</w:t>
      </w:r>
      <w:r>
        <w:rPr>
          <w:rFonts w:ascii="Times New Roman" w:eastAsia="Times New Roman" w:hAnsi="Times New Roman" w:cs="Times New Roman"/>
          <w:sz w:val="20"/>
          <w:szCs w:val="20"/>
        </w:rPr>
        <w:t xml:space="preserve"> Knowledge of Health Cadres </w:t>
      </w:r>
      <w:r>
        <w:rPr>
          <w:rFonts w:ascii="Times New Roman" w:eastAsia="Times New Roman" w:hAnsi="Times New Roman" w:cs="Times New Roman"/>
          <w:sz w:val="20"/>
          <w:szCs w:val="20"/>
        </w:rPr>
        <w:t>About</w:t>
      </w:r>
      <w:r>
        <w:rPr>
          <w:rFonts w:ascii="Times New Roman" w:eastAsia="Times New Roman" w:hAnsi="Times New Roman" w:cs="Times New Roman"/>
          <w:sz w:val="20"/>
          <w:szCs w:val="20"/>
        </w:rPr>
        <w:t xml:space="preserve"> Early Detection of Malnutrition in Toddlers. </w:t>
      </w:r>
      <w:r>
        <w:rPr>
          <w:rFonts w:ascii="Times New Roman" w:eastAsia="Times New Roman" w:hAnsi="Times New Roman" w:cs="Times New Roman"/>
          <w:i/>
          <w:sz w:val="20"/>
          <w:szCs w:val="20"/>
        </w:rPr>
        <w:t>Journal of Scien</w:t>
      </w:r>
      <w:r>
        <w:rPr>
          <w:rFonts w:ascii="Times New Roman" w:eastAsia="Times New Roman" w:hAnsi="Times New Roman" w:cs="Times New Roman"/>
          <w:i/>
          <w:sz w:val="20"/>
          <w:szCs w:val="20"/>
        </w:rPr>
        <w:t>ce and Technology Applications for Society</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6</w:t>
      </w:r>
      <w:r>
        <w:rPr>
          <w:rFonts w:ascii="Times New Roman" w:eastAsia="Times New Roman" w:hAnsi="Times New Roman" w:cs="Times New Roman"/>
          <w:sz w:val="20"/>
          <w:szCs w:val="20"/>
        </w:rPr>
        <w:t>(3), 173–177. http://jurnal.unpad.ac.id/dharmakarya/article/view/10319/7705</w:t>
      </w:r>
    </w:p>
    <w:p w:rsidR="00CA0767">
      <w:pPr>
        <w:widowControl w:val="0"/>
        <w:spacing w:after="0" w:line="240" w:lineRule="auto"/>
        <w:ind w:left="480" w:hanging="4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Arsy</w:t>
      </w:r>
      <w:r>
        <w:rPr>
          <w:rFonts w:ascii="Times New Roman" w:eastAsia="Times New Roman" w:hAnsi="Times New Roman" w:cs="Times New Roman"/>
          <w:sz w:val="20"/>
          <w:szCs w:val="20"/>
        </w:rPr>
        <w:t>, GR (2021).</w:t>
      </w:r>
      <w:r>
        <w:rPr>
          <w:rFonts w:ascii="Times New Roman" w:eastAsia="Times New Roman" w:hAnsi="Times New Roman" w:cs="Times New Roman"/>
          <w:sz w:val="20"/>
          <w:szCs w:val="20"/>
        </w:rPr>
        <w:t xml:space="preserve"> Description of Knowledge and Attitudes of </w:t>
      </w:r>
      <w:r>
        <w:rPr>
          <w:rFonts w:ascii="Times New Roman" w:eastAsia="Times New Roman" w:hAnsi="Times New Roman" w:cs="Times New Roman"/>
          <w:sz w:val="20"/>
          <w:szCs w:val="20"/>
        </w:rPr>
        <w:t>Posyandu</w:t>
      </w:r>
      <w:r>
        <w:rPr>
          <w:rFonts w:ascii="Times New Roman" w:eastAsia="Times New Roman" w:hAnsi="Times New Roman" w:cs="Times New Roman"/>
          <w:sz w:val="20"/>
          <w:szCs w:val="20"/>
        </w:rPr>
        <w:t xml:space="preserve"> cadres in Monitoring the Growth of Under-fives Development in the </w:t>
      </w:r>
      <w:r>
        <w:rPr>
          <w:rFonts w:ascii="Times New Roman" w:eastAsia="Times New Roman" w:hAnsi="Times New Roman" w:cs="Times New Roman"/>
          <w:sz w:val="20"/>
          <w:szCs w:val="20"/>
        </w:rPr>
        <w:t>Rejosari</w:t>
      </w:r>
      <w:r>
        <w:rPr>
          <w:rFonts w:ascii="Times New Roman" w:eastAsia="Times New Roman" w:hAnsi="Times New Roman" w:cs="Times New Roman"/>
          <w:sz w:val="20"/>
          <w:szCs w:val="20"/>
        </w:rPr>
        <w:t xml:space="preserve"> Health Center, Kudus Regency. </w:t>
      </w:r>
      <w:r>
        <w:rPr>
          <w:rFonts w:ascii="Times New Roman" w:eastAsia="Times New Roman" w:hAnsi="Times New Roman" w:cs="Times New Roman"/>
          <w:i/>
          <w:sz w:val="20"/>
          <w:szCs w:val="20"/>
        </w:rPr>
        <w:t>Nursing Profession</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8</w:t>
      </w:r>
      <w:r>
        <w:rPr>
          <w:rFonts w:ascii="Times New Roman" w:eastAsia="Times New Roman" w:hAnsi="Times New Roman" w:cs="Times New Roman"/>
          <w:sz w:val="20"/>
          <w:szCs w:val="20"/>
        </w:rPr>
        <w:t>(1), 70–81.</w:t>
      </w:r>
      <w:r>
        <w:rPr>
          <w:rFonts w:ascii="Times New Roman" w:eastAsia="Times New Roman" w:hAnsi="Times New Roman" w:cs="Times New Roman"/>
          <w:sz w:val="20"/>
          <w:szCs w:val="20"/>
        </w:rPr>
        <w:t xml:space="preserve"> http://jurnal.akperkridahusada.ac.id/index.php/jpk</w:t>
      </w:r>
      <w:r>
        <w:rPr>
          <w:rFonts w:ascii="Times New Roman" w:eastAsia="Times New Roman" w:hAnsi="Times New Roman" w:cs="Times New Roman"/>
          <w:sz w:val="20"/>
          <w:szCs w:val="20"/>
        </w:rPr>
        <w:t>/article/view/94</w:t>
      </w:r>
    </w:p>
    <w:p w:rsidR="00CA0767">
      <w:pPr>
        <w:widowControl w:val="0"/>
        <w:spacing w:after="0" w:line="240" w:lineRule="auto"/>
        <w:ind w:left="480" w:hanging="4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Azizah</w:t>
      </w:r>
      <w:r>
        <w:rPr>
          <w:rFonts w:ascii="Times New Roman" w:eastAsia="Times New Roman" w:hAnsi="Times New Roman" w:cs="Times New Roman"/>
          <w:sz w:val="20"/>
          <w:szCs w:val="20"/>
        </w:rPr>
        <w:t xml:space="preserve">, EN, &amp; </w:t>
      </w:r>
      <w:r>
        <w:rPr>
          <w:rFonts w:ascii="Times New Roman" w:eastAsia="Times New Roman" w:hAnsi="Times New Roman" w:cs="Times New Roman"/>
          <w:sz w:val="20"/>
          <w:szCs w:val="20"/>
        </w:rPr>
        <w:t>Wardhani</w:t>
      </w:r>
      <w:r>
        <w:rPr>
          <w:rFonts w:ascii="Times New Roman" w:eastAsia="Times New Roman" w:hAnsi="Times New Roman" w:cs="Times New Roman"/>
          <w:sz w:val="20"/>
          <w:szCs w:val="20"/>
        </w:rPr>
        <w:t>, RK (2020).</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Movement of </w:t>
      </w:r>
      <w:r>
        <w:rPr>
          <w:rFonts w:ascii="Times New Roman" w:eastAsia="Times New Roman" w:hAnsi="Times New Roman" w:cs="Times New Roman"/>
          <w:sz w:val="20"/>
          <w:szCs w:val="20"/>
        </w:rPr>
        <w:t>Posyandu</w:t>
      </w:r>
      <w:r>
        <w:rPr>
          <w:rFonts w:ascii="Times New Roman" w:eastAsia="Times New Roman" w:hAnsi="Times New Roman" w:cs="Times New Roman"/>
          <w:sz w:val="20"/>
          <w:szCs w:val="20"/>
        </w:rPr>
        <w:t xml:space="preserve"> Cadres Aware of Stunting in </w:t>
      </w:r>
      <w:r>
        <w:rPr>
          <w:rFonts w:ascii="Times New Roman" w:eastAsia="Times New Roman" w:hAnsi="Times New Roman" w:cs="Times New Roman"/>
          <w:sz w:val="20"/>
          <w:szCs w:val="20"/>
        </w:rPr>
        <w:t>Ringinpitu</w:t>
      </w:r>
      <w:r>
        <w:rPr>
          <w:rFonts w:ascii="Times New Roman" w:eastAsia="Times New Roman" w:hAnsi="Times New Roman" w:cs="Times New Roman"/>
          <w:sz w:val="20"/>
          <w:szCs w:val="20"/>
        </w:rPr>
        <w:t xml:space="preserve"> Village, </w:t>
      </w:r>
      <w:r>
        <w:rPr>
          <w:rFonts w:ascii="Times New Roman" w:eastAsia="Times New Roman" w:hAnsi="Times New Roman" w:cs="Times New Roman"/>
          <w:sz w:val="20"/>
          <w:szCs w:val="20"/>
        </w:rPr>
        <w:t>Plemahan</w:t>
      </w:r>
      <w:r>
        <w:rPr>
          <w:rFonts w:ascii="Times New Roman" w:eastAsia="Times New Roman" w:hAnsi="Times New Roman" w:cs="Times New Roman"/>
          <w:sz w:val="20"/>
          <w:szCs w:val="20"/>
        </w:rPr>
        <w:t xml:space="preserve"> District.</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Journal of Community Engagement in Health</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3</w:t>
      </w:r>
      <w:r>
        <w:rPr>
          <w:rFonts w:ascii="Times New Roman" w:eastAsia="Times New Roman" w:hAnsi="Times New Roman" w:cs="Times New Roman"/>
          <w:sz w:val="20"/>
          <w:szCs w:val="20"/>
        </w:rPr>
        <w:t>(2), 229–232. https://doi.org/10.30994/jceh.v3i2.70</w:t>
      </w:r>
    </w:p>
    <w:p w:rsidR="00CA0767">
      <w:pPr>
        <w:widowControl w:val="0"/>
        <w:spacing w:after="0" w:line="240" w:lineRule="auto"/>
        <w:ind w:left="480" w:hanging="4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Central Java Health </w:t>
      </w:r>
      <w:r>
        <w:rPr>
          <w:rFonts w:ascii="Times New Roman" w:eastAsia="Times New Roman" w:hAnsi="Times New Roman" w:cs="Times New Roman"/>
          <w:sz w:val="20"/>
          <w:szCs w:val="20"/>
        </w:rPr>
        <w:t>Office.</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(2019). Health Profile of Central Java Province 2019.</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In </w:t>
      </w:r>
      <w:r>
        <w:rPr>
          <w:rFonts w:ascii="Times New Roman" w:eastAsia="Times New Roman" w:hAnsi="Times New Roman" w:cs="Times New Roman"/>
          <w:i/>
          <w:sz w:val="20"/>
          <w:szCs w:val="20"/>
        </w:rPr>
        <w:t>Central Java Health Office</w:t>
      </w:r>
      <w:r>
        <w:rPr>
          <w:rFonts w:ascii="Times New Roman" w:eastAsia="Times New Roman" w:hAnsi="Times New Roman" w:cs="Times New Roman"/>
          <w:sz w:val="20"/>
          <w:szCs w:val="20"/>
        </w:rPr>
        <w:t>.</w:t>
      </w:r>
    </w:p>
    <w:p w:rsidR="00CA0767">
      <w:pPr>
        <w:widowControl w:val="0"/>
        <w:spacing w:after="0" w:line="240" w:lineRule="auto"/>
        <w:ind w:left="480" w:hanging="4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Handayani</w:t>
      </w:r>
      <w:r>
        <w:rPr>
          <w:rFonts w:ascii="Times New Roman" w:eastAsia="Times New Roman" w:hAnsi="Times New Roman" w:cs="Times New Roman"/>
          <w:sz w:val="20"/>
          <w:szCs w:val="20"/>
        </w:rPr>
        <w:t xml:space="preserve">, TP, </w:t>
      </w:r>
      <w:r>
        <w:rPr>
          <w:rFonts w:ascii="Times New Roman" w:eastAsia="Times New Roman" w:hAnsi="Times New Roman" w:cs="Times New Roman"/>
          <w:sz w:val="20"/>
          <w:szCs w:val="20"/>
        </w:rPr>
        <w:t>Tarawan</w:t>
      </w:r>
      <w:r>
        <w:rPr>
          <w:rFonts w:ascii="Times New Roman" w:eastAsia="Times New Roman" w:hAnsi="Times New Roman" w:cs="Times New Roman"/>
          <w:sz w:val="20"/>
          <w:szCs w:val="20"/>
        </w:rPr>
        <w:t xml:space="preserve">, VM, &amp; </w:t>
      </w:r>
      <w:r>
        <w:rPr>
          <w:rFonts w:ascii="Times New Roman" w:eastAsia="Times New Roman" w:hAnsi="Times New Roman" w:cs="Times New Roman"/>
          <w:sz w:val="20"/>
          <w:szCs w:val="20"/>
        </w:rPr>
        <w:t>Nurihsan</w:t>
      </w:r>
      <w:r>
        <w:rPr>
          <w:rFonts w:ascii="Times New Roman" w:eastAsia="Times New Roman" w:hAnsi="Times New Roman" w:cs="Times New Roman"/>
          <w:sz w:val="20"/>
          <w:szCs w:val="20"/>
        </w:rPr>
        <w:t>, J. (2019).</w:t>
      </w:r>
      <w:r>
        <w:rPr>
          <w:rFonts w:ascii="Times New Roman" w:eastAsia="Times New Roman" w:hAnsi="Times New Roman" w:cs="Times New Roman"/>
          <w:sz w:val="20"/>
          <w:szCs w:val="20"/>
        </w:rPr>
        <w:t xml:space="preserve"> Increased Knowledge and Attitudes of Cadres </w:t>
      </w:r>
      <w:r>
        <w:rPr>
          <w:rFonts w:ascii="Times New Roman" w:eastAsia="Times New Roman" w:hAnsi="Times New Roman" w:cs="Times New Roman"/>
          <w:sz w:val="20"/>
          <w:szCs w:val="20"/>
        </w:rPr>
        <w:t>About</w:t>
      </w:r>
      <w:r>
        <w:rPr>
          <w:rFonts w:ascii="Times New Roman" w:eastAsia="Times New Roman" w:hAnsi="Times New Roman" w:cs="Times New Roman"/>
          <w:sz w:val="20"/>
          <w:szCs w:val="20"/>
        </w:rPr>
        <w:t xml:space="preserve"> Stunting in Toddlers Age 12-36 Months Through the Application </w:t>
      </w:r>
      <w:r>
        <w:rPr>
          <w:rFonts w:ascii="Times New Roman" w:eastAsia="Times New Roman" w:hAnsi="Times New Roman" w:cs="Times New Roman"/>
          <w:sz w:val="20"/>
          <w:szCs w:val="20"/>
        </w:rPr>
        <w:t xml:space="preserve">of Stunting-Free Child Applications (Abs). </w:t>
      </w:r>
      <w:r>
        <w:rPr>
          <w:rFonts w:ascii="Times New Roman" w:eastAsia="Times New Roman" w:hAnsi="Times New Roman" w:cs="Times New Roman"/>
          <w:i/>
          <w:sz w:val="20"/>
          <w:szCs w:val="20"/>
        </w:rPr>
        <w:t>Malahayati</w:t>
      </w:r>
      <w:r>
        <w:rPr>
          <w:rFonts w:ascii="Times New Roman" w:eastAsia="Times New Roman" w:hAnsi="Times New Roman" w:cs="Times New Roman"/>
          <w:i/>
          <w:sz w:val="20"/>
          <w:szCs w:val="20"/>
        </w:rPr>
        <w:t xml:space="preserve"> Journal of Midwifery</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5</w:t>
      </w:r>
      <w:r>
        <w:rPr>
          <w:rFonts w:ascii="Times New Roman" w:eastAsia="Times New Roman" w:hAnsi="Times New Roman" w:cs="Times New Roman"/>
          <w:sz w:val="20"/>
          <w:szCs w:val="20"/>
        </w:rPr>
        <w:t>(4), 357–363. https://doi.org/10.33024/jkm.v5i4.22058</w:t>
      </w:r>
    </w:p>
    <w:p w:rsidR="00CA0767">
      <w:pPr>
        <w:widowControl w:val="0"/>
        <w:spacing w:after="0" w:line="240" w:lineRule="auto"/>
        <w:ind w:left="480" w:hanging="4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Hariani</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Sastriani</w:t>
      </w:r>
      <w:r>
        <w:rPr>
          <w:rFonts w:ascii="Times New Roman" w:eastAsia="Times New Roman" w:hAnsi="Times New Roman" w:cs="Times New Roman"/>
          <w:sz w:val="20"/>
          <w:szCs w:val="20"/>
        </w:rPr>
        <w:t xml:space="preserve">, &amp; </w:t>
      </w:r>
      <w:r>
        <w:rPr>
          <w:rFonts w:ascii="Times New Roman" w:eastAsia="Times New Roman" w:hAnsi="Times New Roman" w:cs="Times New Roman"/>
          <w:sz w:val="20"/>
          <w:szCs w:val="20"/>
        </w:rPr>
        <w:t>Yuliani</w:t>
      </w:r>
      <w:r>
        <w:rPr>
          <w:rFonts w:ascii="Times New Roman" w:eastAsia="Times New Roman" w:hAnsi="Times New Roman" w:cs="Times New Roman"/>
          <w:sz w:val="20"/>
          <w:szCs w:val="20"/>
        </w:rPr>
        <w:t>, E. (2019).</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Improving Knowledge of </w:t>
      </w:r>
      <w:r>
        <w:rPr>
          <w:rFonts w:ascii="Times New Roman" w:eastAsia="Times New Roman" w:hAnsi="Times New Roman" w:cs="Times New Roman"/>
          <w:i/>
          <w:sz w:val="20"/>
          <w:szCs w:val="20"/>
        </w:rPr>
        <w:t>Posyandu</w:t>
      </w:r>
      <w:r>
        <w:rPr>
          <w:rFonts w:ascii="Times New Roman" w:eastAsia="Times New Roman" w:hAnsi="Times New Roman" w:cs="Times New Roman"/>
          <w:i/>
          <w:sz w:val="20"/>
          <w:szCs w:val="20"/>
        </w:rPr>
        <w:t xml:space="preserve"> Cadres about Early Detection of Stunting Through Training</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27–33.</w:t>
      </w:r>
    </w:p>
    <w:p w:rsidR="00CA0767">
      <w:pPr>
        <w:widowControl w:val="0"/>
        <w:spacing w:after="0" w:line="240" w:lineRule="auto"/>
        <w:ind w:left="480" w:hanging="4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Ministry of Village Development of Disadvantaged Regions and Transmigration.</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(2017). Village pocketbook on stunting management.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In </w:t>
      </w:r>
      <w:r>
        <w:rPr>
          <w:rFonts w:ascii="Times New Roman" w:eastAsia="Times New Roman" w:hAnsi="Times New Roman" w:cs="Times New Roman"/>
          <w:i/>
          <w:sz w:val="20"/>
          <w:szCs w:val="20"/>
        </w:rPr>
        <w:t>Pocket Book of Villages in</w:t>
      </w:r>
      <w:r>
        <w:rPr>
          <w:rFonts w:ascii="Times New Roman" w:eastAsia="Times New Roman" w:hAnsi="Times New Roman" w:cs="Times New Roman"/>
          <w:i/>
          <w:sz w:val="20"/>
          <w:szCs w:val="20"/>
        </w:rPr>
        <w:t xml:space="preserve"> Handling Stunting</w:t>
      </w:r>
      <w:r>
        <w:rPr>
          <w:rFonts w:ascii="Times New Roman" w:eastAsia="Times New Roman" w:hAnsi="Times New Roman" w:cs="Times New Roman"/>
          <w:sz w:val="20"/>
          <w:szCs w:val="20"/>
        </w:rPr>
        <w:t>.</w:t>
      </w:r>
    </w:p>
    <w:p w:rsidR="00CA0767">
      <w:pPr>
        <w:widowControl w:val="0"/>
        <w:spacing w:after="0" w:line="240" w:lineRule="auto"/>
        <w:ind w:left="480" w:hanging="4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Kudus, DKK (2021).</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Kudus District Health Profile 2020</w:t>
      </w:r>
      <w:r>
        <w:rPr>
          <w:rFonts w:ascii="Times New Roman" w:eastAsia="Times New Roman" w:hAnsi="Times New Roman" w:cs="Times New Roman"/>
          <w:sz w:val="20"/>
          <w:szCs w:val="20"/>
        </w:rPr>
        <w:t>.</w:t>
      </w:r>
    </w:p>
    <w:p w:rsidR="00CA0767">
      <w:pPr>
        <w:widowControl w:val="0"/>
        <w:spacing w:after="0" w:line="240" w:lineRule="auto"/>
        <w:ind w:left="480" w:hanging="4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Martha, E., </w:t>
      </w:r>
      <w:r>
        <w:rPr>
          <w:rFonts w:ascii="Times New Roman" w:eastAsia="Times New Roman" w:hAnsi="Times New Roman" w:cs="Times New Roman"/>
          <w:sz w:val="20"/>
          <w:szCs w:val="20"/>
        </w:rPr>
        <w:t>Nadira</w:t>
      </w:r>
      <w:r>
        <w:rPr>
          <w:rFonts w:ascii="Times New Roman" w:eastAsia="Times New Roman" w:hAnsi="Times New Roman" w:cs="Times New Roman"/>
          <w:sz w:val="20"/>
          <w:szCs w:val="20"/>
        </w:rPr>
        <w:t xml:space="preserve">, NA, </w:t>
      </w:r>
      <w:r>
        <w:rPr>
          <w:rFonts w:ascii="Times New Roman" w:eastAsia="Times New Roman" w:hAnsi="Times New Roman" w:cs="Times New Roman"/>
          <w:sz w:val="20"/>
          <w:szCs w:val="20"/>
        </w:rPr>
        <w:t>Sudiarti</w:t>
      </w:r>
      <w:r>
        <w:rPr>
          <w:rFonts w:ascii="Times New Roman" w:eastAsia="Times New Roman" w:hAnsi="Times New Roman" w:cs="Times New Roman"/>
          <w:sz w:val="20"/>
          <w:szCs w:val="20"/>
        </w:rPr>
        <w:t xml:space="preserve">, T., </w:t>
      </w:r>
      <w:r>
        <w:rPr>
          <w:rFonts w:ascii="Times New Roman" w:eastAsia="Times New Roman" w:hAnsi="Times New Roman" w:cs="Times New Roman"/>
          <w:sz w:val="20"/>
          <w:szCs w:val="20"/>
        </w:rPr>
        <w:t>Mayangsari</w:t>
      </w:r>
      <w:r>
        <w:rPr>
          <w:rFonts w:ascii="Times New Roman" w:eastAsia="Times New Roman" w:hAnsi="Times New Roman" w:cs="Times New Roman"/>
          <w:sz w:val="20"/>
          <w:szCs w:val="20"/>
        </w:rPr>
        <w:t xml:space="preserve">, AP, </w:t>
      </w:r>
      <w:r>
        <w:rPr>
          <w:rFonts w:ascii="Times New Roman" w:eastAsia="Times New Roman" w:hAnsi="Times New Roman" w:cs="Times New Roman"/>
          <w:sz w:val="20"/>
          <w:szCs w:val="20"/>
        </w:rPr>
        <w:t>Enjaini</w:t>
      </w:r>
      <w:r>
        <w:rPr>
          <w:rFonts w:ascii="Times New Roman" w:eastAsia="Times New Roman" w:hAnsi="Times New Roman" w:cs="Times New Roman"/>
          <w:sz w:val="20"/>
          <w:szCs w:val="20"/>
        </w:rPr>
        <w:t xml:space="preserve">, EF, </w:t>
      </w:r>
      <w:r>
        <w:rPr>
          <w:rFonts w:ascii="Times New Roman" w:eastAsia="Times New Roman" w:hAnsi="Times New Roman" w:cs="Times New Roman"/>
          <w:sz w:val="20"/>
          <w:szCs w:val="20"/>
        </w:rPr>
        <w:t>Ryanthi</w:t>
      </w:r>
      <w:r>
        <w:rPr>
          <w:rFonts w:ascii="Times New Roman" w:eastAsia="Times New Roman" w:hAnsi="Times New Roman" w:cs="Times New Roman"/>
          <w:sz w:val="20"/>
          <w:szCs w:val="20"/>
        </w:rPr>
        <w:t xml:space="preserve">, TP, </w:t>
      </w:r>
      <w:r>
        <w:rPr>
          <w:rFonts w:ascii="Times New Roman" w:eastAsia="Times New Roman" w:hAnsi="Times New Roman" w:cs="Times New Roman"/>
          <w:sz w:val="20"/>
          <w:szCs w:val="20"/>
        </w:rPr>
        <w:t>Bangun</w:t>
      </w:r>
      <w:r>
        <w:rPr>
          <w:rFonts w:ascii="Times New Roman" w:eastAsia="Times New Roman" w:hAnsi="Times New Roman" w:cs="Times New Roman"/>
          <w:sz w:val="20"/>
          <w:szCs w:val="20"/>
        </w:rPr>
        <w:t xml:space="preserve">, DE, Indonesia, U., Indonesia, KU, &amp; </w:t>
      </w:r>
      <w:r>
        <w:rPr>
          <w:rFonts w:ascii="Times New Roman" w:eastAsia="Times New Roman" w:hAnsi="Times New Roman" w:cs="Times New Roman"/>
          <w:sz w:val="20"/>
          <w:szCs w:val="20"/>
        </w:rPr>
        <w:t>Depok</w:t>
      </w:r>
      <w:r>
        <w:rPr>
          <w:rFonts w:ascii="Times New Roman" w:eastAsia="Times New Roman" w:hAnsi="Times New Roman" w:cs="Times New Roman"/>
          <w:sz w:val="20"/>
          <w:szCs w:val="20"/>
        </w:rPr>
        <w:t>, K. (2020).</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THE EMPOWERMENT OF CADRES AND MEDICASTE</w:t>
      </w:r>
      <w:r>
        <w:rPr>
          <w:rFonts w:ascii="Times New Roman" w:eastAsia="Times New Roman" w:hAnsi="Times New Roman" w:cs="Times New Roman"/>
          <w:i/>
          <w:sz w:val="20"/>
          <w:szCs w:val="20"/>
        </w:rPr>
        <w:t xml:space="preserve">RS IN THE EARLY Stunting is often not considered a serious </w:t>
      </w:r>
      <w:r>
        <w:rPr>
          <w:rFonts w:ascii="Times New Roman" w:eastAsia="Times New Roman" w:hAnsi="Times New Roman" w:cs="Times New Roman"/>
          <w:i/>
          <w:sz w:val="20"/>
          <w:szCs w:val="20"/>
        </w:rPr>
        <w:t>problem.</w:t>
      </w:r>
      <w:r>
        <w:rPr>
          <w:rFonts w:ascii="Times New Roman" w:eastAsia="Times New Roman" w:hAnsi="Times New Roman" w:cs="Times New Roman"/>
          <w:i/>
          <w:sz w:val="20"/>
          <w:szCs w:val="20"/>
        </w:rPr>
        <w:t xml:space="preserve"> Children will be considered stunted when they have height- for age more than two standard deviations below the standard median of the WHO Child Gro</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August</w:t>
      </w:r>
      <w:r>
        <w:rPr>
          <w:rFonts w:ascii="Times New Roman" w:eastAsia="Times New Roman" w:hAnsi="Times New Roman" w:cs="Times New Roman"/>
          <w:sz w:val="20"/>
          <w:szCs w:val="20"/>
        </w:rPr>
        <w:t>, 153–161. https://doi.org/10.20</w:t>
      </w:r>
      <w:r>
        <w:rPr>
          <w:rFonts w:ascii="Times New Roman" w:eastAsia="Times New Roman" w:hAnsi="Times New Roman" w:cs="Times New Roman"/>
          <w:sz w:val="20"/>
          <w:szCs w:val="20"/>
        </w:rPr>
        <w:t>473/ijph.vl15il.2020.153-161</w:t>
      </w:r>
    </w:p>
    <w:p w:rsidR="00CA0767">
      <w:pPr>
        <w:widowControl w:val="0"/>
        <w:spacing w:after="0" w:line="240" w:lineRule="auto"/>
        <w:ind w:left="480" w:hanging="4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Masyita</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Haerianti</w:t>
      </w:r>
      <w:r>
        <w:rPr>
          <w:rFonts w:ascii="Times New Roman" w:eastAsia="Times New Roman" w:hAnsi="Times New Roman" w:cs="Times New Roman"/>
          <w:sz w:val="20"/>
          <w:szCs w:val="20"/>
        </w:rPr>
        <w:t xml:space="preserve">, NEYIJYI (2018). Health Cadre Training About Early Detection </w:t>
      </w:r>
      <w:r>
        <w:rPr>
          <w:rFonts w:ascii="Times New Roman" w:eastAsia="Times New Roman" w:hAnsi="Times New Roman" w:cs="Times New Roman"/>
          <w:sz w:val="20"/>
          <w:szCs w:val="20"/>
        </w:rPr>
        <w:t>Of</w:t>
      </w:r>
      <w:r>
        <w:rPr>
          <w:rFonts w:ascii="Times New Roman" w:eastAsia="Times New Roman" w:hAnsi="Times New Roman" w:cs="Times New Roman"/>
          <w:sz w:val="20"/>
          <w:szCs w:val="20"/>
        </w:rPr>
        <w:t xml:space="preserve"> Stunting Toddler In </w:t>
      </w:r>
      <w:r>
        <w:rPr>
          <w:rFonts w:ascii="Times New Roman" w:eastAsia="Times New Roman" w:hAnsi="Times New Roman" w:cs="Times New Roman"/>
          <w:sz w:val="20"/>
          <w:szCs w:val="20"/>
        </w:rPr>
        <w:t>Betteng</w:t>
      </w:r>
      <w:r>
        <w:rPr>
          <w:rFonts w:ascii="Times New Roman" w:eastAsia="Times New Roman" w:hAnsi="Times New Roman" w:cs="Times New Roman"/>
          <w:sz w:val="20"/>
          <w:szCs w:val="20"/>
        </w:rPr>
        <w:t xml:space="preserve"> Village. </w:t>
      </w:r>
      <w:r>
        <w:rPr>
          <w:rFonts w:ascii="Times New Roman" w:eastAsia="Times New Roman" w:hAnsi="Times New Roman" w:cs="Times New Roman"/>
          <w:i/>
          <w:sz w:val="20"/>
          <w:szCs w:val="20"/>
        </w:rPr>
        <w:t>Journal of Public Health</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01</w:t>
      </w:r>
      <w:r>
        <w:rPr>
          <w:rFonts w:ascii="Times New Roman" w:eastAsia="Times New Roman" w:hAnsi="Times New Roman" w:cs="Times New Roman"/>
          <w:sz w:val="20"/>
          <w:szCs w:val="20"/>
        </w:rPr>
        <w:t>, 41–46.</w:t>
      </w:r>
    </w:p>
    <w:p w:rsidR="00CA0767">
      <w:pPr>
        <w:widowControl w:val="0"/>
        <w:spacing w:after="0" w:line="240" w:lineRule="auto"/>
        <w:ind w:left="480" w:hanging="4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Mogre</w:t>
      </w:r>
      <w:r>
        <w:rPr>
          <w:rFonts w:ascii="Times New Roman" w:eastAsia="Times New Roman" w:hAnsi="Times New Roman" w:cs="Times New Roman"/>
          <w:sz w:val="20"/>
          <w:szCs w:val="20"/>
        </w:rPr>
        <w:t xml:space="preserve">, V., </w:t>
      </w:r>
      <w:r>
        <w:rPr>
          <w:rFonts w:ascii="Times New Roman" w:eastAsia="Times New Roman" w:hAnsi="Times New Roman" w:cs="Times New Roman"/>
          <w:sz w:val="20"/>
          <w:szCs w:val="20"/>
        </w:rPr>
        <w:t>Yakubu</w:t>
      </w:r>
      <w:r>
        <w:rPr>
          <w:rFonts w:ascii="Times New Roman" w:eastAsia="Times New Roman" w:hAnsi="Times New Roman" w:cs="Times New Roman"/>
          <w:sz w:val="20"/>
          <w:szCs w:val="20"/>
        </w:rPr>
        <w:t xml:space="preserve">, A., </w:t>
      </w:r>
      <w:r>
        <w:rPr>
          <w:rFonts w:ascii="Times New Roman" w:eastAsia="Times New Roman" w:hAnsi="Times New Roman" w:cs="Times New Roman"/>
          <w:sz w:val="20"/>
          <w:szCs w:val="20"/>
        </w:rPr>
        <w:t>Fuseini</w:t>
      </w:r>
      <w:r>
        <w:rPr>
          <w:rFonts w:ascii="Times New Roman" w:eastAsia="Times New Roman" w:hAnsi="Times New Roman" w:cs="Times New Roman"/>
          <w:sz w:val="20"/>
          <w:szCs w:val="20"/>
        </w:rPr>
        <w:t xml:space="preserve">, M., </w:t>
      </w:r>
      <w:r>
        <w:rPr>
          <w:rFonts w:ascii="Times New Roman" w:eastAsia="Times New Roman" w:hAnsi="Times New Roman" w:cs="Times New Roman"/>
          <w:sz w:val="20"/>
          <w:szCs w:val="20"/>
        </w:rPr>
        <w:t>Amalba</w:t>
      </w:r>
      <w:r>
        <w:rPr>
          <w:rFonts w:ascii="Times New Roman" w:eastAsia="Times New Roman" w:hAnsi="Times New Roman" w:cs="Times New Roman"/>
          <w:sz w:val="20"/>
          <w:szCs w:val="20"/>
        </w:rPr>
        <w:t xml:space="preserve">, A., &amp; </w:t>
      </w:r>
      <w:r>
        <w:rPr>
          <w:rFonts w:ascii="Times New Roman" w:eastAsia="Times New Roman" w:hAnsi="Times New Roman" w:cs="Times New Roman"/>
          <w:sz w:val="20"/>
          <w:szCs w:val="20"/>
        </w:rPr>
        <w:t>Aguree</w:t>
      </w:r>
      <w:r>
        <w:rPr>
          <w:rFonts w:ascii="Times New Roman" w:eastAsia="Times New Roman" w:hAnsi="Times New Roman" w:cs="Times New Roman"/>
          <w:sz w:val="20"/>
          <w:szCs w:val="20"/>
        </w:rPr>
        <w:t xml:space="preserve">, S. (2017). </w:t>
      </w:r>
      <w:r>
        <w:rPr>
          <w:rFonts w:ascii="Times New Roman" w:eastAsia="Times New Roman" w:hAnsi="Times New Roman" w:cs="Times New Roman"/>
          <w:sz w:val="20"/>
          <w:szCs w:val="20"/>
        </w:rPr>
        <w:t>Nu</w:t>
      </w:r>
      <w:r>
        <w:rPr>
          <w:rFonts w:ascii="Times New Roman" w:eastAsia="Times New Roman" w:hAnsi="Times New Roman" w:cs="Times New Roman"/>
          <w:sz w:val="20"/>
          <w:szCs w:val="20"/>
        </w:rPr>
        <w:t xml:space="preserve">rses' knowledge and attitudes regarding malnutrition in children and </w:t>
      </w:r>
      <w:r>
        <w:rPr>
          <w:rFonts w:ascii="Times New Roman" w:eastAsia="Times New Roman" w:hAnsi="Times New Roman" w:cs="Times New Roman"/>
          <w:sz w:val="20"/>
          <w:szCs w:val="20"/>
        </w:rPr>
        <w:t>its management in Ghana.</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Curationis</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40</w:t>
      </w:r>
      <w:r>
        <w:rPr>
          <w:rFonts w:ascii="Times New Roman" w:eastAsia="Times New Roman" w:hAnsi="Times New Roman" w:cs="Times New Roman"/>
          <w:sz w:val="20"/>
          <w:szCs w:val="20"/>
        </w:rPr>
        <w:t>(1), 1–8. https://doi.org/10.4102/curationis.v40i1.1618</w:t>
      </w:r>
    </w:p>
    <w:p w:rsidR="00CA0767">
      <w:pPr>
        <w:widowControl w:val="0"/>
        <w:spacing w:after="0" w:line="240" w:lineRule="auto"/>
        <w:ind w:left="480" w:hanging="4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Notoatmodjo</w:t>
      </w:r>
      <w:r>
        <w:rPr>
          <w:rFonts w:ascii="Times New Roman" w:eastAsia="Times New Roman" w:hAnsi="Times New Roman" w:cs="Times New Roman"/>
          <w:sz w:val="20"/>
          <w:szCs w:val="20"/>
        </w:rPr>
        <w:t>, S. (2010).</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Behavioral Health Sciences</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Rineka</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Cipta</w:t>
      </w:r>
      <w:r>
        <w:rPr>
          <w:rFonts w:ascii="Times New Roman" w:eastAsia="Times New Roman" w:hAnsi="Times New Roman" w:cs="Times New Roman"/>
          <w:sz w:val="20"/>
          <w:szCs w:val="20"/>
        </w:rPr>
        <w:t>.</w:t>
      </w:r>
    </w:p>
    <w:p w:rsidR="00CA0767">
      <w:pPr>
        <w:widowControl w:val="0"/>
        <w:spacing w:after="0" w:line="240" w:lineRule="auto"/>
        <w:ind w:left="480" w:hanging="4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Purnamasari</w:t>
      </w:r>
      <w:r>
        <w:rPr>
          <w:rFonts w:ascii="Times New Roman" w:eastAsia="Times New Roman" w:hAnsi="Times New Roman" w:cs="Times New Roman"/>
          <w:sz w:val="20"/>
          <w:szCs w:val="20"/>
        </w:rPr>
        <w:t xml:space="preserve">, H., </w:t>
      </w:r>
      <w:r>
        <w:rPr>
          <w:rFonts w:ascii="Times New Roman" w:eastAsia="Times New Roman" w:hAnsi="Times New Roman" w:cs="Times New Roman"/>
          <w:sz w:val="20"/>
          <w:szCs w:val="20"/>
        </w:rPr>
        <w:t>Shaluhiya</w:t>
      </w:r>
      <w:r>
        <w:rPr>
          <w:rFonts w:ascii="Times New Roman" w:eastAsia="Times New Roman" w:hAnsi="Times New Roman" w:cs="Times New Roman"/>
          <w:sz w:val="20"/>
          <w:szCs w:val="20"/>
        </w:rPr>
        <w:t>h</w:t>
      </w:r>
      <w:r>
        <w:rPr>
          <w:rFonts w:ascii="Times New Roman" w:eastAsia="Times New Roman" w:hAnsi="Times New Roman" w:cs="Times New Roman"/>
          <w:sz w:val="20"/>
          <w:szCs w:val="20"/>
        </w:rPr>
        <w:t xml:space="preserve">, Z., </w:t>
      </w:r>
      <w:r>
        <w:rPr>
          <w:rFonts w:ascii="Times New Roman" w:eastAsia="Times New Roman" w:hAnsi="Times New Roman" w:cs="Times New Roman"/>
          <w:sz w:val="20"/>
          <w:szCs w:val="20"/>
        </w:rPr>
        <w:t>Kusumawati</w:t>
      </w:r>
      <w:r>
        <w:rPr>
          <w:rFonts w:ascii="Times New Roman" w:eastAsia="Times New Roman" w:hAnsi="Times New Roman" w:cs="Times New Roman"/>
          <w:sz w:val="20"/>
          <w:szCs w:val="20"/>
        </w:rPr>
        <w:t xml:space="preserve">, A., Faculty, M., Society, K., </w:t>
      </w:r>
      <w:r>
        <w:rPr>
          <w:rFonts w:ascii="Times New Roman" w:eastAsia="Times New Roman" w:hAnsi="Times New Roman" w:cs="Times New Roman"/>
          <w:sz w:val="20"/>
          <w:szCs w:val="20"/>
        </w:rPr>
        <w:t>Diponegoro</w:t>
      </w:r>
      <w:r>
        <w:rPr>
          <w:rFonts w:ascii="Times New Roman" w:eastAsia="Times New Roman" w:hAnsi="Times New Roman" w:cs="Times New Roman"/>
          <w:sz w:val="20"/>
          <w:szCs w:val="20"/>
        </w:rPr>
        <w:t xml:space="preserve">, U., Lecturer, S., Bachelor, P., Health, I., &amp; University, M. (2020). </w:t>
      </w:r>
      <w:r>
        <w:rPr>
          <w:rFonts w:ascii="Times New Roman" w:eastAsia="Times New Roman" w:hAnsi="Times New Roman" w:cs="Times New Roman"/>
          <w:sz w:val="20"/>
          <w:szCs w:val="20"/>
        </w:rPr>
        <w:t>Posyandu</w:t>
      </w:r>
      <w:r>
        <w:rPr>
          <w:rFonts w:ascii="Times New Roman" w:eastAsia="Times New Roman" w:hAnsi="Times New Roman" w:cs="Times New Roman"/>
          <w:sz w:val="20"/>
          <w:szCs w:val="20"/>
        </w:rPr>
        <w:t xml:space="preserve"> Cadre Training as an Effort to Prevent Stunting in Toddlers in the Working Area of ​​</w:t>
      </w:r>
      <w:r>
        <w:rPr>
          <w:rFonts w:ascii="Times New Roman" w:eastAsia="Times New Roman" w:hAnsi="Times New Roman" w:cs="Times New Roman"/>
          <w:sz w:val="20"/>
          <w:szCs w:val="20"/>
        </w:rPr>
        <w:t>Margadana</w:t>
      </w:r>
      <w:r>
        <w:rPr>
          <w:rFonts w:ascii="Times New Roman" w:eastAsia="Times New Roman" w:hAnsi="Times New Roman" w:cs="Times New Roman"/>
          <w:sz w:val="20"/>
          <w:szCs w:val="20"/>
        </w:rPr>
        <w:t xml:space="preserve"> Health Center and Sout</w:t>
      </w:r>
      <w:r>
        <w:rPr>
          <w:rFonts w:ascii="Times New Roman" w:eastAsia="Times New Roman" w:hAnsi="Times New Roman" w:cs="Times New Roman"/>
          <w:sz w:val="20"/>
          <w:szCs w:val="20"/>
        </w:rPr>
        <w:t xml:space="preserve">h </w:t>
      </w:r>
      <w:r>
        <w:rPr>
          <w:rFonts w:ascii="Times New Roman" w:eastAsia="Times New Roman" w:hAnsi="Times New Roman" w:cs="Times New Roman"/>
          <w:sz w:val="20"/>
          <w:szCs w:val="20"/>
        </w:rPr>
        <w:t>Tegal</w:t>
      </w:r>
      <w:r>
        <w:rPr>
          <w:rFonts w:ascii="Times New Roman" w:eastAsia="Times New Roman" w:hAnsi="Times New Roman" w:cs="Times New Roman"/>
          <w:sz w:val="20"/>
          <w:szCs w:val="20"/>
        </w:rPr>
        <w:t xml:space="preserve"> Health Center, </w:t>
      </w:r>
      <w:r>
        <w:rPr>
          <w:rFonts w:ascii="Times New Roman" w:eastAsia="Times New Roman" w:hAnsi="Times New Roman" w:cs="Times New Roman"/>
          <w:sz w:val="20"/>
          <w:szCs w:val="20"/>
        </w:rPr>
        <w:t>Tegal</w:t>
      </w:r>
      <w:r>
        <w:rPr>
          <w:rFonts w:ascii="Times New Roman" w:eastAsia="Times New Roman" w:hAnsi="Times New Roman" w:cs="Times New Roman"/>
          <w:sz w:val="20"/>
          <w:szCs w:val="20"/>
        </w:rPr>
        <w:t xml:space="preserve"> City. </w:t>
      </w:r>
      <w:r>
        <w:rPr>
          <w:rFonts w:ascii="Times New Roman" w:eastAsia="Times New Roman" w:hAnsi="Times New Roman" w:cs="Times New Roman"/>
          <w:i/>
          <w:sz w:val="20"/>
          <w:szCs w:val="20"/>
        </w:rPr>
        <w:t>Journal of Public Health (e-Journal)</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8</w:t>
      </w:r>
      <w:r>
        <w:rPr>
          <w:rFonts w:ascii="Times New Roman" w:eastAsia="Times New Roman" w:hAnsi="Times New Roman" w:cs="Times New Roman"/>
          <w:sz w:val="20"/>
          <w:szCs w:val="20"/>
        </w:rPr>
        <w:t>(3), 432–439.</w:t>
      </w:r>
    </w:p>
    <w:p w:rsidR="00CA0767">
      <w:pPr>
        <w:widowControl w:val="0"/>
        <w:spacing w:after="0" w:line="240" w:lineRule="auto"/>
        <w:ind w:left="480" w:hanging="4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Rahmawati</w:t>
      </w:r>
      <w:r>
        <w:rPr>
          <w:rFonts w:ascii="Times New Roman" w:eastAsia="Times New Roman" w:hAnsi="Times New Roman" w:cs="Times New Roman"/>
          <w:sz w:val="20"/>
          <w:szCs w:val="20"/>
        </w:rPr>
        <w:t xml:space="preserve">, ND, &amp; </w:t>
      </w:r>
      <w:r>
        <w:rPr>
          <w:rFonts w:ascii="Times New Roman" w:eastAsia="Times New Roman" w:hAnsi="Times New Roman" w:cs="Times New Roman"/>
          <w:sz w:val="20"/>
          <w:szCs w:val="20"/>
        </w:rPr>
        <w:t>Dewi</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Sartika</w:t>
      </w:r>
      <w:r>
        <w:rPr>
          <w:rFonts w:ascii="Times New Roman" w:eastAsia="Times New Roman" w:hAnsi="Times New Roman" w:cs="Times New Roman"/>
          <w:sz w:val="20"/>
          <w:szCs w:val="20"/>
        </w:rPr>
        <w:t>, RA (2020).</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Cadres' role in </w:t>
      </w:r>
      <w:r>
        <w:rPr>
          <w:rFonts w:ascii="Times New Roman" w:eastAsia="Times New Roman" w:hAnsi="Times New Roman" w:cs="Times New Roman"/>
          <w:sz w:val="20"/>
          <w:szCs w:val="20"/>
        </w:rPr>
        <w:t>Posyandu</w:t>
      </w:r>
      <w:r>
        <w:rPr>
          <w:rFonts w:ascii="Times New Roman" w:eastAsia="Times New Roman" w:hAnsi="Times New Roman" w:cs="Times New Roman"/>
          <w:sz w:val="20"/>
          <w:szCs w:val="20"/>
        </w:rPr>
        <w:t xml:space="preserve"> revitalization as stunting early detection in </w:t>
      </w:r>
      <w:r>
        <w:rPr>
          <w:rFonts w:ascii="Times New Roman" w:eastAsia="Times New Roman" w:hAnsi="Times New Roman" w:cs="Times New Roman"/>
          <w:sz w:val="20"/>
          <w:szCs w:val="20"/>
        </w:rPr>
        <w:t>Babakan</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Madang</w:t>
      </w:r>
      <w:r>
        <w:rPr>
          <w:rFonts w:ascii="Times New Roman" w:eastAsia="Times New Roman" w:hAnsi="Times New Roman" w:cs="Times New Roman"/>
          <w:sz w:val="20"/>
          <w:szCs w:val="20"/>
        </w:rPr>
        <w:t xml:space="preserve"> Sub-District, Bogor District.</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ASEAN Jour</w:t>
      </w:r>
      <w:r>
        <w:rPr>
          <w:rFonts w:ascii="Times New Roman" w:eastAsia="Times New Roman" w:hAnsi="Times New Roman" w:cs="Times New Roman"/>
          <w:i/>
          <w:sz w:val="20"/>
          <w:szCs w:val="20"/>
        </w:rPr>
        <w:t>nal of Community Engagement</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4</w:t>
      </w:r>
      <w:r>
        <w:rPr>
          <w:rFonts w:ascii="Times New Roman" w:eastAsia="Times New Roman" w:hAnsi="Times New Roman" w:cs="Times New Roman"/>
          <w:sz w:val="20"/>
          <w:szCs w:val="20"/>
        </w:rPr>
        <w:t>(2), 485–499. https://doi.org/10.7454/ajce.v4i2.1055</w:t>
      </w:r>
    </w:p>
    <w:p w:rsidR="00CA0767">
      <w:pPr>
        <w:widowControl w:val="0"/>
        <w:spacing w:after="0" w:line="240" w:lineRule="auto"/>
        <w:ind w:left="480" w:hanging="4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RI, K. (2018). </w:t>
      </w:r>
      <w:r>
        <w:rPr>
          <w:rFonts w:ascii="Times New Roman" w:eastAsia="Times New Roman" w:hAnsi="Times New Roman" w:cs="Times New Roman"/>
          <w:i/>
          <w:sz w:val="20"/>
          <w:szCs w:val="20"/>
        </w:rPr>
        <w:t>Guidelines for Behavior Change Communication Strategies in Accelerating Stunting Prevention in Indonesia</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https://promkes.kemkes.go.id/download/dsfs/files3848</w:t>
      </w:r>
      <w:r>
        <w:rPr>
          <w:rFonts w:ascii="Times New Roman" w:eastAsia="Times New Roman" w:hAnsi="Times New Roman" w:cs="Times New Roman"/>
          <w:sz w:val="20"/>
          <w:szCs w:val="20"/>
        </w:rPr>
        <w:t>7110219 MOH COMMUNICATION STRATEGY.pdf</w:t>
      </w:r>
    </w:p>
    <w:p w:rsidR="00CA0767">
      <w:pPr>
        <w:widowControl w:val="0"/>
        <w:spacing w:after="0" w:line="240" w:lineRule="auto"/>
        <w:ind w:left="480" w:hanging="4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Singh, D., Cumming, R., </w:t>
      </w:r>
      <w:r>
        <w:rPr>
          <w:rFonts w:ascii="Times New Roman" w:eastAsia="Times New Roman" w:hAnsi="Times New Roman" w:cs="Times New Roman"/>
          <w:sz w:val="20"/>
          <w:szCs w:val="20"/>
        </w:rPr>
        <w:t>Mohajer</w:t>
      </w:r>
      <w:r>
        <w:rPr>
          <w:rFonts w:ascii="Times New Roman" w:eastAsia="Times New Roman" w:hAnsi="Times New Roman" w:cs="Times New Roman"/>
          <w:sz w:val="20"/>
          <w:szCs w:val="20"/>
        </w:rPr>
        <w:t xml:space="preserve">, N., &amp; </w:t>
      </w:r>
      <w:r>
        <w:rPr>
          <w:rFonts w:ascii="Times New Roman" w:eastAsia="Times New Roman" w:hAnsi="Times New Roman" w:cs="Times New Roman"/>
          <w:sz w:val="20"/>
          <w:szCs w:val="20"/>
        </w:rPr>
        <w:t>Negin</w:t>
      </w:r>
      <w:r>
        <w:rPr>
          <w:rFonts w:ascii="Times New Roman" w:eastAsia="Times New Roman" w:hAnsi="Times New Roman" w:cs="Times New Roman"/>
          <w:sz w:val="20"/>
          <w:szCs w:val="20"/>
        </w:rPr>
        <w:t>, J. (2016).</w:t>
      </w:r>
      <w:r>
        <w:rPr>
          <w:rFonts w:ascii="Times New Roman" w:eastAsia="Times New Roman" w:hAnsi="Times New Roman" w:cs="Times New Roman"/>
          <w:sz w:val="20"/>
          <w:szCs w:val="20"/>
        </w:rPr>
        <w:t xml:space="preserve"> The motivation of Community Health Volunteers in rural Uganda: the interconnectedness of knowledge, relationship, and action. </w:t>
      </w:r>
      <w:r>
        <w:rPr>
          <w:rFonts w:ascii="Times New Roman" w:eastAsia="Times New Roman" w:hAnsi="Times New Roman" w:cs="Times New Roman"/>
          <w:i/>
          <w:sz w:val="20"/>
          <w:szCs w:val="20"/>
        </w:rPr>
        <w:t>Public Health</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136</w:t>
      </w:r>
      <w:r>
        <w:rPr>
          <w:rFonts w:ascii="Times New Roman" w:eastAsia="Times New Roman" w:hAnsi="Times New Roman" w:cs="Times New Roman"/>
          <w:sz w:val="20"/>
          <w:szCs w:val="20"/>
        </w:rPr>
        <w:t>, 166–171. https://do</w:t>
      </w:r>
      <w:r>
        <w:rPr>
          <w:rFonts w:ascii="Times New Roman" w:eastAsia="Times New Roman" w:hAnsi="Times New Roman" w:cs="Times New Roman"/>
          <w:sz w:val="20"/>
          <w:szCs w:val="20"/>
        </w:rPr>
        <w:t>i.org/10.1016/j.puhe.2016.01.010</w:t>
      </w:r>
    </w:p>
    <w:p w:rsidR="00CA0767">
      <w:pPr>
        <w:widowControl w:val="0"/>
        <w:spacing w:after="0" w:line="240" w:lineRule="auto"/>
        <w:ind w:left="480" w:hanging="4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Tafese</w:t>
      </w:r>
      <w:r>
        <w:rPr>
          <w:rFonts w:ascii="Times New Roman" w:eastAsia="Times New Roman" w:hAnsi="Times New Roman" w:cs="Times New Roman"/>
          <w:sz w:val="20"/>
          <w:szCs w:val="20"/>
        </w:rPr>
        <w:t xml:space="preserve">, Z., &amp; </w:t>
      </w:r>
      <w:r>
        <w:rPr>
          <w:rFonts w:ascii="Times New Roman" w:eastAsia="Times New Roman" w:hAnsi="Times New Roman" w:cs="Times New Roman"/>
          <w:sz w:val="20"/>
          <w:szCs w:val="20"/>
        </w:rPr>
        <w:t>Shele</w:t>
      </w:r>
      <w:r>
        <w:rPr>
          <w:rFonts w:ascii="Times New Roman" w:eastAsia="Times New Roman" w:hAnsi="Times New Roman" w:cs="Times New Roman"/>
          <w:sz w:val="20"/>
          <w:szCs w:val="20"/>
        </w:rPr>
        <w:t>, A. (2015).</w:t>
      </w:r>
      <w:r>
        <w:rPr>
          <w:rFonts w:ascii="Times New Roman" w:eastAsia="Times New Roman" w:hAnsi="Times New Roman" w:cs="Times New Roman"/>
          <w:sz w:val="20"/>
          <w:szCs w:val="20"/>
        </w:rPr>
        <w:t xml:space="preserve"> Knowledge, attitude, and practice towards malnutrition among health care workers in </w:t>
      </w:r>
      <w:r>
        <w:rPr>
          <w:rFonts w:ascii="Times New Roman" w:eastAsia="Times New Roman" w:hAnsi="Times New Roman" w:cs="Times New Roman"/>
          <w:sz w:val="20"/>
          <w:szCs w:val="20"/>
        </w:rPr>
        <w:t>Hawassa</w:t>
      </w:r>
      <w:r>
        <w:rPr>
          <w:rFonts w:ascii="Times New Roman" w:eastAsia="Times New Roman" w:hAnsi="Times New Roman" w:cs="Times New Roman"/>
          <w:sz w:val="20"/>
          <w:szCs w:val="20"/>
        </w:rPr>
        <w:t xml:space="preserve"> City, Southern Ethiopia. </w:t>
      </w:r>
      <w:r>
        <w:rPr>
          <w:rFonts w:ascii="Times New Roman" w:eastAsia="Times New Roman" w:hAnsi="Times New Roman" w:cs="Times New Roman"/>
          <w:i/>
          <w:sz w:val="20"/>
          <w:szCs w:val="20"/>
        </w:rPr>
        <w:t>Global Academic Research Journals</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1</w:t>
      </w:r>
      <w:r>
        <w:rPr>
          <w:rFonts w:ascii="Times New Roman" w:eastAsia="Times New Roman" w:hAnsi="Times New Roman" w:cs="Times New Roman"/>
          <w:sz w:val="20"/>
          <w:szCs w:val="20"/>
        </w:rPr>
        <w:t>(1), 1–8.</w:t>
      </w:r>
    </w:p>
    <w:p w:rsidR="00CA0767">
      <w:pPr>
        <w:widowControl w:val="0"/>
        <w:spacing w:after="0" w:line="240" w:lineRule="auto"/>
        <w:ind w:left="480" w:hanging="4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Tampake</w:t>
      </w:r>
      <w:r>
        <w:rPr>
          <w:rFonts w:ascii="Times New Roman" w:eastAsia="Times New Roman" w:hAnsi="Times New Roman" w:cs="Times New Roman"/>
          <w:sz w:val="20"/>
          <w:szCs w:val="20"/>
        </w:rPr>
        <w:t xml:space="preserve">, R., </w:t>
      </w:r>
      <w:r>
        <w:rPr>
          <w:rFonts w:ascii="Times New Roman" w:eastAsia="Times New Roman" w:hAnsi="Times New Roman" w:cs="Times New Roman"/>
          <w:sz w:val="20"/>
          <w:szCs w:val="20"/>
        </w:rPr>
        <w:t>Arianty</w:t>
      </w:r>
      <w:r>
        <w:rPr>
          <w:rFonts w:ascii="Times New Roman" w:eastAsia="Times New Roman" w:hAnsi="Times New Roman" w:cs="Times New Roman"/>
          <w:sz w:val="20"/>
          <w:szCs w:val="20"/>
        </w:rPr>
        <w:t xml:space="preserve">, R., </w:t>
      </w:r>
      <w:r>
        <w:rPr>
          <w:rFonts w:ascii="Times New Roman" w:eastAsia="Times New Roman" w:hAnsi="Times New Roman" w:cs="Times New Roman"/>
          <w:sz w:val="20"/>
          <w:szCs w:val="20"/>
        </w:rPr>
        <w:t>Mangundap</w:t>
      </w:r>
      <w:r>
        <w:rPr>
          <w:rFonts w:ascii="Times New Roman" w:eastAsia="Times New Roman" w:hAnsi="Times New Roman" w:cs="Times New Roman"/>
          <w:sz w:val="20"/>
          <w:szCs w:val="20"/>
        </w:rPr>
        <w:t xml:space="preserve">, SA, </w:t>
      </w:r>
      <w:r>
        <w:rPr>
          <w:rFonts w:ascii="Times New Roman" w:eastAsia="Times New Roman" w:hAnsi="Times New Roman" w:cs="Times New Roman"/>
          <w:sz w:val="20"/>
          <w:szCs w:val="20"/>
        </w:rPr>
        <w:t>Emy</w:t>
      </w:r>
      <w:r>
        <w:rPr>
          <w:rFonts w:ascii="Times New Roman" w:eastAsia="Times New Roman" w:hAnsi="Times New Roman" w:cs="Times New Roman"/>
          <w:sz w:val="20"/>
          <w:szCs w:val="20"/>
        </w:rPr>
        <w:t xml:space="preserve">, B., &amp; </w:t>
      </w:r>
      <w:r>
        <w:rPr>
          <w:rFonts w:ascii="Times New Roman" w:eastAsia="Times New Roman" w:hAnsi="Times New Roman" w:cs="Times New Roman"/>
          <w:sz w:val="20"/>
          <w:szCs w:val="20"/>
        </w:rPr>
        <w:t>Sasmita</w:t>
      </w:r>
      <w:r>
        <w:rPr>
          <w:rFonts w:ascii="Times New Roman" w:eastAsia="Times New Roman" w:hAnsi="Times New Roman" w:cs="Times New Roman"/>
          <w:sz w:val="20"/>
          <w:szCs w:val="20"/>
        </w:rPr>
        <w:t>, H. (2021).</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The effectiveness of training on improving the ability of health cadres in early detection of stunting in toddlers.</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Open Access Macedonian Journal of Medical Sciences</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9</w:t>
      </w:r>
      <w:r>
        <w:rPr>
          <w:rFonts w:ascii="Times New Roman" w:eastAsia="Times New Roman" w:hAnsi="Times New Roman" w:cs="Times New Roman"/>
          <w:sz w:val="20"/>
          <w:szCs w:val="20"/>
        </w:rPr>
        <w:t>(E), 373–377. h</w:t>
      </w:r>
      <w:r>
        <w:rPr>
          <w:rFonts w:ascii="Times New Roman" w:eastAsia="Times New Roman" w:hAnsi="Times New Roman" w:cs="Times New Roman"/>
          <w:sz w:val="20"/>
          <w:szCs w:val="20"/>
        </w:rPr>
        <w:t>ttps://doi.org/10.3889/oamjms.2021.6067</w:t>
      </w:r>
    </w:p>
    <w:p w:rsidR="00CA0767">
      <w:pPr>
        <w:widowControl w:val="0"/>
        <w:spacing w:after="0" w:line="240" w:lineRule="auto"/>
        <w:ind w:left="480" w:hanging="4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Vizeshfar</w:t>
      </w:r>
      <w:r>
        <w:rPr>
          <w:rFonts w:ascii="Times New Roman" w:eastAsia="Times New Roman" w:hAnsi="Times New Roman" w:cs="Times New Roman"/>
          <w:sz w:val="20"/>
          <w:szCs w:val="20"/>
        </w:rPr>
        <w:t xml:space="preserve">, F., </w:t>
      </w:r>
      <w:r>
        <w:rPr>
          <w:rFonts w:ascii="Times New Roman" w:eastAsia="Times New Roman" w:hAnsi="Times New Roman" w:cs="Times New Roman"/>
          <w:sz w:val="20"/>
          <w:szCs w:val="20"/>
        </w:rPr>
        <w:t>Zare</w:t>
      </w:r>
      <w:r>
        <w:rPr>
          <w:rFonts w:ascii="Times New Roman" w:eastAsia="Times New Roman" w:hAnsi="Times New Roman" w:cs="Times New Roman"/>
          <w:sz w:val="20"/>
          <w:szCs w:val="20"/>
        </w:rPr>
        <w:t xml:space="preserve">, M., &amp; </w:t>
      </w:r>
      <w:r>
        <w:rPr>
          <w:rFonts w:ascii="Times New Roman" w:eastAsia="Times New Roman" w:hAnsi="Times New Roman" w:cs="Times New Roman"/>
          <w:sz w:val="20"/>
          <w:szCs w:val="20"/>
        </w:rPr>
        <w:t>Keshtkaran</w:t>
      </w:r>
      <w:r>
        <w:rPr>
          <w:rFonts w:ascii="Times New Roman" w:eastAsia="Times New Roman" w:hAnsi="Times New Roman" w:cs="Times New Roman"/>
          <w:sz w:val="20"/>
          <w:szCs w:val="20"/>
        </w:rPr>
        <w:t>, Z. (2019).</w:t>
      </w:r>
      <w:r>
        <w:rPr>
          <w:rFonts w:ascii="Times New Roman" w:eastAsia="Times New Roman" w:hAnsi="Times New Roman" w:cs="Times New Roman"/>
          <w:sz w:val="20"/>
          <w:szCs w:val="20"/>
        </w:rPr>
        <w:t xml:space="preserve"> Role-play versus lecture methods in community health volunteers. </w:t>
      </w:r>
      <w:r>
        <w:rPr>
          <w:rFonts w:ascii="Times New Roman" w:eastAsia="Times New Roman" w:hAnsi="Times New Roman" w:cs="Times New Roman"/>
          <w:i/>
          <w:sz w:val="20"/>
          <w:szCs w:val="20"/>
        </w:rPr>
        <w:t>Nurse Education Today</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79</w:t>
      </w:r>
      <w:r>
        <w:rPr>
          <w:rFonts w:ascii="Times New Roman" w:eastAsia="Times New Roman" w:hAnsi="Times New Roman" w:cs="Times New Roman"/>
          <w:sz w:val="20"/>
          <w:szCs w:val="20"/>
        </w:rPr>
        <w:t>(October 2018), 175–179. https://doi.org/10.1016/j.nedt.2019.05.028</w:t>
      </w:r>
    </w:p>
    <w:p w:rsidR="00CA0767">
      <w:pPr>
        <w:widowControl w:val="0"/>
        <w:spacing w:after="0" w:line="240" w:lineRule="auto"/>
        <w:ind w:left="480" w:hanging="4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Wijayant</w:t>
      </w:r>
      <w:r>
        <w:rPr>
          <w:rFonts w:ascii="Times New Roman" w:eastAsia="Times New Roman" w:hAnsi="Times New Roman" w:cs="Times New Roman"/>
          <w:sz w:val="20"/>
          <w:szCs w:val="20"/>
        </w:rPr>
        <w:t>i</w:t>
      </w:r>
      <w:r>
        <w:rPr>
          <w:rFonts w:ascii="Times New Roman" w:eastAsia="Times New Roman" w:hAnsi="Times New Roman" w:cs="Times New Roman"/>
          <w:sz w:val="20"/>
          <w:szCs w:val="20"/>
        </w:rPr>
        <w:t xml:space="preserve">, IT, &amp; </w:t>
      </w:r>
      <w:r>
        <w:rPr>
          <w:rFonts w:ascii="Times New Roman" w:eastAsia="Times New Roman" w:hAnsi="Times New Roman" w:cs="Times New Roman"/>
          <w:sz w:val="20"/>
          <w:szCs w:val="20"/>
        </w:rPr>
        <w:t>Sariani</w:t>
      </w:r>
      <w:r>
        <w:rPr>
          <w:rFonts w:ascii="Times New Roman" w:eastAsia="Times New Roman" w:hAnsi="Times New Roman" w:cs="Times New Roman"/>
          <w:sz w:val="20"/>
          <w:szCs w:val="20"/>
        </w:rPr>
        <w:t>, D. (2020).</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Training and Empowerment of Health Cadres in the Prevention and Management of Stunting in Children.</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Journal of Community Care</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2</w:t>
      </w:r>
      <w:r>
        <w:rPr>
          <w:rFonts w:ascii="Times New Roman" w:eastAsia="Times New Roman" w:hAnsi="Times New Roman" w:cs="Times New Roman"/>
          <w:sz w:val="20"/>
          <w:szCs w:val="20"/>
        </w:rPr>
        <w:t>(2), 49–58. https://doi.org/10.37287/jpm.v2i2.92</w:t>
      </w:r>
    </w:p>
    <w:p w:rsidR="00CA0767">
      <w:pPr>
        <w:widowControl w:val="0"/>
        <w:spacing w:after="0" w:line="240" w:lineRule="auto"/>
        <w:ind w:left="480" w:hanging="4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Yuliani</w:t>
      </w:r>
      <w:r>
        <w:rPr>
          <w:rFonts w:ascii="Times New Roman" w:eastAsia="Times New Roman" w:hAnsi="Times New Roman" w:cs="Times New Roman"/>
          <w:sz w:val="20"/>
          <w:szCs w:val="20"/>
        </w:rPr>
        <w:t xml:space="preserve">, E. (2019). </w:t>
      </w:r>
      <w:r>
        <w:rPr>
          <w:rFonts w:ascii="Times New Roman" w:eastAsia="Times New Roman" w:hAnsi="Times New Roman" w:cs="Times New Roman"/>
          <w:i/>
          <w:sz w:val="20"/>
          <w:szCs w:val="20"/>
        </w:rPr>
        <w:t xml:space="preserve">Improving Knowledge of </w:t>
      </w:r>
      <w:r>
        <w:rPr>
          <w:rFonts w:ascii="Times New Roman" w:eastAsia="Times New Roman" w:hAnsi="Times New Roman" w:cs="Times New Roman"/>
          <w:i/>
          <w:sz w:val="20"/>
          <w:szCs w:val="20"/>
        </w:rPr>
        <w:t>Posyand</w:t>
      </w:r>
      <w:r>
        <w:rPr>
          <w:rFonts w:ascii="Times New Roman" w:eastAsia="Times New Roman" w:hAnsi="Times New Roman" w:cs="Times New Roman"/>
          <w:i/>
          <w:sz w:val="20"/>
          <w:szCs w:val="20"/>
        </w:rPr>
        <w:t>u</w:t>
      </w:r>
      <w:r>
        <w:rPr>
          <w:rFonts w:ascii="Times New Roman" w:eastAsia="Times New Roman" w:hAnsi="Times New Roman" w:cs="Times New Roman"/>
          <w:i/>
          <w:sz w:val="20"/>
          <w:szCs w:val="20"/>
        </w:rPr>
        <w:t xml:space="preserve"> Cadres about Early Detection of Stunting Through Training</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27–33.</w:t>
      </w:r>
    </w:p>
    <w:p w:rsidR="00CA0767">
      <w:pPr>
        <w:keepNext/>
        <w:tabs>
          <w:tab w:val="left" w:pos="180"/>
        </w:tabs>
        <w:spacing w:after="0" w:line="240" w:lineRule="auto"/>
        <w:ind w:left="567" w:hanging="567"/>
        <w:jc w:val="both"/>
        <w:rPr>
          <w:rFonts w:ascii="Times New Roman" w:eastAsia="Times New Roman" w:hAnsi="Times New Roman" w:cs="Times New Roman"/>
          <w:sz w:val="20"/>
          <w:szCs w:val="20"/>
        </w:rPr>
      </w:pPr>
    </w:p>
    <w:p w:rsidR="00CA0767">
      <w:pPr>
        <w:tabs>
          <w:tab w:val="left" w:pos="180"/>
        </w:tabs>
        <w:spacing w:after="0" w:line="240" w:lineRule="auto"/>
        <w:ind w:left="567" w:hanging="567"/>
        <w:jc w:val="both"/>
        <w:rPr>
          <w:rFonts w:ascii="Times New Roman" w:eastAsia="Times New Roman" w:hAnsi="Times New Roman" w:cs="Times New Roman"/>
          <w:sz w:val="20"/>
          <w:szCs w:val="20"/>
        </w:rPr>
      </w:pPr>
    </w:p>
    <w:p w:rsidR="00CA0767">
      <w:pPr>
        <w:tabs>
          <w:tab w:val="left" w:pos="180"/>
        </w:tabs>
        <w:spacing w:after="0" w:line="240" w:lineRule="auto"/>
        <w:jc w:val="both"/>
        <w:rPr>
          <w:rFonts w:ascii="Times New Roman" w:eastAsia="Times New Roman" w:hAnsi="Times New Roman" w:cs="Times New Roman"/>
          <w:sz w:val="20"/>
          <w:szCs w:val="20"/>
        </w:rPr>
      </w:pPr>
    </w:p>
    <w:sectPr>
      <w:type w:val="continuous"/>
      <w:pgSz w:w="11906" w:h="16838"/>
      <w:pgMar w:top="1701" w:right="1416" w:bottom="1701" w:left="1418" w:header="709" w:footer="709" w:gutter="0"/>
      <w:cols w:num="2" w:space="720" w:equalWidth="0">
        <w:col w:w="4394" w:space="284"/>
        <w:col w:w="439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0767">
    <w:pPr>
      <w:pBdr>
        <w:top w:val="nil"/>
        <w:left w:val="nil"/>
        <w:bottom w:val="nil"/>
        <w:right w:val="nil"/>
        <w:between w:val="nil"/>
      </w:pBdr>
      <w:tabs>
        <w:tab w:val="center" w:pos="4513"/>
        <w:tab w:val="right" w:pos="9026"/>
      </w:tabs>
      <w:spacing w:after="0" w:line="240" w:lineRule="auto"/>
      <w:rPr>
        <w:color w:val="000000"/>
      </w:rPr>
    </w:pP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b/>
        <w:color w:val="000000"/>
        <w:sz w:val="16"/>
        <w:szCs w:val="16"/>
      </w:rPr>
      <w:t>IJEMC</w:t>
    </w:r>
    <w:r>
      <w:rPr>
        <w:rFonts w:ascii="Times New Roman" w:eastAsia="Times New Roman" w:hAnsi="Times New Roman" w:cs="Times New Roman"/>
        <w:b/>
        <w:color w:val="000000"/>
        <w:sz w:val="16"/>
        <w:szCs w:val="16"/>
      </w:rPr>
      <w:t>,</w:t>
    </w:r>
    <w:r>
      <w:rPr>
        <w:rFonts w:ascii="Times New Roman" w:eastAsia="Times New Roman" w:hAnsi="Times New Roman" w:cs="Times New Roman"/>
        <w:color w:val="000000"/>
        <w:sz w:val="16"/>
        <w:szCs w:val="16"/>
      </w:rPr>
      <w:t xml:space="preserve"> Volume 3 No. 2, June 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0767">
    <w:pPr>
      <w:tabs>
        <w:tab w:val="center" w:pos="4680"/>
        <w:tab w:val="right" w:pos="9360"/>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DOI: 10.32.807/jkp.v14i2.2xx Prima Health Journal,</w:t>
    </w:r>
    <w:r>
      <w:rPr>
        <w:rFonts w:ascii="Times New Roman" w:eastAsia="Times New Roman" w:hAnsi="Times New Roman" w:cs="Times New Roman"/>
        <w:sz w:val="16"/>
        <w:szCs w:val="16"/>
      </w:rPr>
      <w:t xml:space="preserve"> Volume xx Issue. </w:t>
    </w:r>
    <w:r>
      <w:rPr>
        <w:rFonts w:ascii="Times New Roman" w:eastAsia="Times New Roman" w:hAnsi="Times New Roman" w:cs="Times New Roman"/>
        <w:sz w:val="16"/>
        <w:szCs w:val="16"/>
      </w:rPr>
      <w:t>x</w:t>
    </w:r>
    <w:r>
      <w:rPr>
        <w:rFonts w:ascii="Times New Roman" w:eastAsia="Times New Roman" w:hAnsi="Times New Roman" w:cs="Times New Roman"/>
        <w:sz w:val="16"/>
        <w:szCs w:val="16"/>
      </w:rPr>
      <w:t>, August 2020</w:t>
    </w:r>
    <w:r>
      <w:rPr>
        <w:rFonts w:ascii="Times New Roman" w:eastAsia="Times New Roman" w:hAnsi="Times New Roman" w:cs="Times New Roman"/>
      </w:rPr>
      <w:t xml:space="preserve"> |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sidR="008A544F">
      <w:rPr>
        <w:rFonts w:ascii="Times New Roman" w:eastAsia="Times New Roman" w:hAnsi="Times New Roman" w:cs="Times New Roman"/>
        <w:sz w:val="20"/>
        <w:szCs w:val="20"/>
      </w:rPr>
      <w:fldChar w:fldCharType="separate"/>
    </w:r>
    <w:r w:rsidR="00502884">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r>
      <w:rPr>
        <w:rFonts w:ascii="Times New Roman" w:eastAsia="Times New Roman" w:hAnsi="Times New Roman" w:cs="Times New Roman"/>
        <w:sz w:val="16"/>
        <w:szCs w:val="16"/>
      </w:rPr>
      <w:t xml:space="preserve"> </w:t>
    </w:r>
  </w:p>
  <w:p w:rsidR="00CA076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A0ED8" w:rsidRPr="00502884" w:rsidP="00502884">
      <w:pPr>
        <w:pStyle w:val="Footer"/>
      </w:pPr>
    </w:p>
  </w:footnote>
  <w:footnote w:type="continuationSeparator" w:id="1">
    <w:p w:rsidR="006A0ED8">
      <w:pPr>
        <w:spacing w:after="0" w:line="240" w:lineRule="auto"/>
      </w:pPr>
      <w:r>
        <w:continuationSeparator/>
      </w:r>
    </w:p>
  </w:footnote>
  <w:footnote w:id="2">
    <w:p w:rsidR="00CA0767">
      <w:pPr>
        <w:pBdr>
          <w:top w:val="nil"/>
          <w:left w:val="nil"/>
          <w:bottom w:val="nil"/>
          <w:right w:val="nil"/>
          <w:between w:val="nil"/>
        </w:pBdr>
        <w:spacing w:after="0" w:line="240" w:lineRule="auto"/>
        <w:rPr>
          <w:color w:val="000000"/>
          <w:sz w:val="20"/>
          <w:szCs w:val="20"/>
        </w:rPr>
      </w:pPr>
      <w:r>
        <w:rPr>
          <w:vertAlign w:val="superscript"/>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0767">
    <w:pPr>
      <w:spacing w:after="0" w:line="240" w:lineRule="auto"/>
      <w:ind w:left="1418" w:hanging="1418"/>
      <w:jc w:val="both"/>
      <w:rPr>
        <w:rFonts w:ascii="Times New Roman" w:eastAsia="Times New Roman" w:hAnsi="Times New Roman" w:cs="Times New Roman"/>
        <w:i/>
        <w:sz w:val="16"/>
        <w:szCs w:val="16"/>
      </w:rPr>
    </w:pPr>
    <w:r>
      <w:rPr>
        <w:rFonts w:ascii="Times New Roman" w:eastAsia="Times New Roman" w:hAnsi="Times New Roman" w:cs="Times New Roman"/>
        <w:sz w:val="16"/>
        <w:szCs w:val="16"/>
      </w:rPr>
      <w:t>Imel</w:t>
    </w:r>
    <w:r>
      <w:rPr>
        <w:rFonts w:ascii="Times New Roman" w:eastAsia="Times New Roman" w:hAnsi="Times New Roman" w:cs="Times New Roman"/>
        <w:sz w:val="16"/>
        <w:szCs w:val="16"/>
      </w:rPr>
      <w:t xml:space="preserve">da Martina GS: The Relationship between Tutor Performance and Scenario Case Quality on Group Effectiveness </w:t>
    </w:r>
    <w:r>
      <w:rPr>
        <w:rFonts w:ascii="Times New Roman" w:eastAsia="Times New Roman" w:hAnsi="Times New Roman" w:cs="Times New Roman"/>
        <w:sz w:val="16"/>
        <w:szCs w:val="16"/>
      </w:rPr>
      <w:t>in methods</w:t>
    </w:r>
    <w:r>
      <w:rPr>
        <w:rFonts w:ascii="Times New Roman" w:eastAsia="Times New Roman" w:hAnsi="Times New Roman" w:cs="Times New Roman"/>
        <w:sz w:val="16"/>
        <w:szCs w:val="16"/>
      </w:rPr>
      <w:t xml:space="preserve"> </w:t>
    </w:r>
    <w:r>
      <w:rPr>
        <w:rFonts w:ascii="Times New Roman" w:eastAsia="Times New Roman" w:hAnsi="Times New Roman" w:cs="Times New Roman"/>
        <w:i/>
        <w:sz w:val="16"/>
        <w:szCs w:val="16"/>
      </w:rPr>
      <w:t>Problem Based Learning</w:t>
    </w:r>
  </w:p>
  <w:p w:rsidR="00CA076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A167294"/>
    <w:multiLevelType w:val="multilevel"/>
    <w:tmpl w:val="B6CADAE0"/>
    <w:lvl w:ilvl="0">
      <w:start w:val="1"/>
      <w:numFmt w:val="decimal"/>
      <w:lvlText w:val="%1)"/>
      <w:lvlJc w:val="left"/>
      <w:pPr>
        <w:ind w:left="994" w:hanging="360"/>
      </w:pPr>
    </w:lvl>
    <w:lvl w:ilvl="1">
      <w:start w:val="1"/>
      <w:numFmt w:val="lowerLetter"/>
      <w:lvlText w:val="%2."/>
      <w:lvlJc w:val="left"/>
      <w:pPr>
        <w:ind w:left="1714" w:hanging="360"/>
      </w:pPr>
    </w:lvl>
    <w:lvl w:ilvl="2">
      <w:start w:val="1"/>
      <w:numFmt w:val="lowerRoman"/>
      <w:lvlText w:val="%3."/>
      <w:lvlJc w:val="right"/>
      <w:pPr>
        <w:ind w:left="2434" w:hanging="180"/>
      </w:pPr>
    </w:lvl>
    <w:lvl w:ilvl="3">
      <w:start w:val="1"/>
      <w:numFmt w:val="decimal"/>
      <w:lvlText w:val="%4."/>
      <w:lvlJc w:val="left"/>
      <w:pPr>
        <w:ind w:left="3154" w:hanging="360"/>
      </w:pPr>
    </w:lvl>
    <w:lvl w:ilvl="4">
      <w:start w:val="1"/>
      <w:numFmt w:val="lowerLetter"/>
      <w:lvlText w:val="%5."/>
      <w:lvlJc w:val="left"/>
      <w:pPr>
        <w:ind w:left="3874" w:hanging="360"/>
      </w:pPr>
    </w:lvl>
    <w:lvl w:ilvl="5">
      <w:start w:val="1"/>
      <w:numFmt w:val="lowerRoman"/>
      <w:lvlText w:val="%6."/>
      <w:lvlJc w:val="right"/>
      <w:pPr>
        <w:ind w:left="4594" w:hanging="180"/>
      </w:pPr>
    </w:lvl>
    <w:lvl w:ilvl="6">
      <w:start w:val="1"/>
      <w:numFmt w:val="decimal"/>
      <w:lvlText w:val="%7."/>
      <w:lvlJc w:val="left"/>
      <w:pPr>
        <w:ind w:left="5314" w:hanging="360"/>
      </w:pPr>
    </w:lvl>
    <w:lvl w:ilvl="7">
      <w:start w:val="1"/>
      <w:numFmt w:val="lowerLetter"/>
      <w:lvlText w:val="%8."/>
      <w:lvlJc w:val="left"/>
      <w:pPr>
        <w:ind w:left="6034" w:hanging="360"/>
      </w:pPr>
    </w:lvl>
    <w:lvl w:ilvl="8">
      <w:start w:val="1"/>
      <w:numFmt w:val="lowerRoman"/>
      <w:lvlText w:val="%9."/>
      <w:lvlJc w:val="right"/>
      <w:pPr>
        <w:ind w:left="67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767"/>
    <w:rsid w:val="00502884"/>
    <w:rsid w:val="006A0ED8"/>
    <w:rsid w:val="008A544F"/>
    <w:rsid w:val="00CA07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name w:val="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name w:val="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name w:val="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name w:val="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semiHidden/>
    <w:unhideWhenUsed/>
    <w:rsid w:val="005028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2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hyperlink" Target="about:blank"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jpeg" /><Relationship Id="rId7" Type="http://schemas.openxmlformats.org/officeDocument/2006/relationships/hyperlink" Target="http://jkp.poltekkes-mataram.ac.id/index.php/home/index" TargetMode="External" /><Relationship Id="rId8" Type="http://schemas.openxmlformats.org/officeDocument/2006/relationships/hyperlink" Target="http://u.lipi.go.id/1180425413" TargetMode="External" /><Relationship Id="rId9" Type="http://schemas.openxmlformats.org/officeDocument/2006/relationships/hyperlink" Target="http://u.lipi.go.id/141801307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73B82-8ACE-4B1D-AC45-BF7E8756D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4511</Words>
  <Characters>25715</Characters>
  <Application>Microsoft Office Word</Application>
  <DocSecurity>0</DocSecurity>
  <Lines>214</Lines>
  <Paragraphs>60</Paragraphs>
  <ScaleCrop>false</ScaleCrop>
  <Company/>
  <LinksUpToDate>false</LinksUpToDate>
  <CharactersWithSpaces>30166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sistem</cp:lastModifiedBy>
  <cp:revision>3</cp:revision>
  <dcterms:created xsi:type="dcterms:W3CDTF">2021-12-01T04:04:00Z</dcterms:created>
  <dcterms:modified xsi:type="dcterms:W3CDTF">2021-12-01T04:05:00Z</dcterms:modified>
</cp:coreProperties>
</file>